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CF07D" w14:textId="0DF351DE" w:rsidR="00254173" w:rsidRDefault="4A0B673F" w:rsidP="000E7C8E">
      <w:pPr>
        <w:pStyle w:val="ProjectName"/>
      </w:pPr>
      <w:bookmarkStart w:id="0" w:name="_GoBack"/>
      <w:bookmarkEnd w:id="0"/>
      <w:r>
        <w:t xml:space="preserve">Pavement </w:t>
      </w:r>
      <w:r w:rsidR="21AC56B7">
        <w:t>c</w:t>
      </w:r>
      <w:r w:rsidR="4BA929E4">
        <w:t xml:space="preserve">ondition </w:t>
      </w:r>
      <w:r w:rsidR="4C3D4CED">
        <w:t>r</w:t>
      </w:r>
      <w:r w:rsidR="4BA929E4">
        <w:t xml:space="preserve">eport </w:t>
      </w:r>
      <w:r w:rsidR="2E6802F7">
        <w:t>u</w:t>
      </w:r>
      <w:r w:rsidR="4BA929E4">
        <w:t xml:space="preserve">ser </w:t>
      </w:r>
      <w:r w:rsidR="4A9EF4F1">
        <w:t>g</w:t>
      </w:r>
      <w:r w:rsidR="4BA929E4">
        <w:t>uide</w:t>
      </w:r>
    </w:p>
    <w:p w14:paraId="6DDB5194" w14:textId="5BC4BE54" w:rsidR="00A60691" w:rsidRDefault="00A60691" w:rsidP="00A60691">
      <w:pPr>
        <w:rPr>
          <w:i/>
          <w:iCs/>
        </w:rPr>
      </w:pPr>
      <w:r w:rsidRPr="00A60691">
        <w:rPr>
          <w:i/>
          <w:iCs/>
        </w:rPr>
        <w:t>Aug 2020</w:t>
      </w:r>
    </w:p>
    <w:p w14:paraId="25C68172" w14:textId="77777777" w:rsidR="00A60691" w:rsidRPr="00A60691" w:rsidRDefault="00A60691" w:rsidP="00A60691">
      <w:pPr>
        <w:rPr>
          <w:i/>
          <w:iCs/>
        </w:rPr>
      </w:pPr>
    </w:p>
    <w:p w14:paraId="3D4261E3" w14:textId="402BDD73" w:rsidR="00FE5819" w:rsidRDefault="00E5578A" w:rsidP="00914ECD">
      <w:pPr>
        <w:pStyle w:val="Heading1"/>
      </w:pPr>
      <w:r>
        <w:t>summary</w:t>
      </w:r>
    </w:p>
    <w:p w14:paraId="3B534AE3" w14:textId="14B9CCED" w:rsidR="004B0F61" w:rsidRDefault="0042385F" w:rsidP="00254173">
      <w:pPr>
        <w:rPr>
          <w:color w:val="0070C0"/>
        </w:rPr>
      </w:pPr>
      <w:r w:rsidRPr="215240F2">
        <w:rPr>
          <w:color w:val="0070C0"/>
        </w:rPr>
        <w:t xml:space="preserve">This report presents the results of the annual </w:t>
      </w:r>
      <w:r w:rsidR="00CA3543" w:rsidRPr="215240F2">
        <w:rPr>
          <w:color w:val="0070C0"/>
        </w:rPr>
        <w:t xml:space="preserve">network condition survey </w:t>
      </w:r>
      <w:r w:rsidR="1ECC4054" w:rsidRPr="215240F2">
        <w:rPr>
          <w:color w:val="0070C0"/>
        </w:rPr>
        <w:t xml:space="preserve">that WDM </w:t>
      </w:r>
      <w:r w:rsidR="00CA3543" w:rsidRPr="2EDD71E5">
        <w:rPr>
          <w:color w:val="0070C0"/>
        </w:rPr>
        <w:t>undertake</w:t>
      </w:r>
      <w:r w:rsidR="279C0002" w:rsidRPr="2EDD71E5">
        <w:rPr>
          <w:color w:val="0070C0"/>
        </w:rPr>
        <w:t>s</w:t>
      </w:r>
      <w:r w:rsidR="00CA3543" w:rsidRPr="215240F2">
        <w:rPr>
          <w:color w:val="0070C0"/>
        </w:rPr>
        <w:t xml:space="preserve"> every summer.</w:t>
      </w:r>
      <w:r w:rsidR="00D85A1F" w:rsidRPr="215240F2">
        <w:rPr>
          <w:color w:val="0070C0"/>
        </w:rPr>
        <w:t xml:space="preserve"> </w:t>
      </w:r>
      <w:r w:rsidR="00B41E01" w:rsidRPr="215240F2">
        <w:rPr>
          <w:color w:val="0070C0"/>
        </w:rPr>
        <w:t xml:space="preserve">Some measures are relative to length of network surveyed and some are relative to traffic volumes – </w:t>
      </w:r>
      <w:r w:rsidR="3BDD89FB" w:rsidRPr="215240F2">
        <w:rPr>
          <w:color w:val="0070C0"/>
        </w:rPr>
        <w:t>see details below</w:t>
      </w:r>
      <w:r w:rsidR="00B41E01" w:rsidRPr="215240F2">
        <w:rPr>
          <w:color w:val="0070C0"/>
        </w:rPr>
        <w:t>.</w:t>
      </w:r>
    </w:p>
    <w:p w14:paraId="44473768" w14:textId="77777777" w:rsidR="001C7CAB" w:rsidRDefault="001C7CAB" w:rsidP="00254173">
      <w:pPr>
        <w:rPr>
          <w:color w:val="0070C0"/>
        </w:rPr>
      </w:pPr>
    </w:p>
    <w:p w14:paraId="2CFB57C5" w14:textId="44C4205D" w:rsidR="00AB3D06" w:rsidRDefault="001C7CAB" w:rsidP="001C7CAB">
      <w:pPr>
        <w:pStyle w:val="Heading1"/>
      </w:pPr>
      <w:r>
        <w:t>Traffic Data</w:t>
      </w:r>
    </w:p>
    <w:p w14:paraId="1848AD01" w14:textId="5F8FE762" w:rsidR="00914ECD" w:rsidRDefault="001C7CAB" w:rsidP="39E040D9">
      <w:pPr>
        <w:rPr>
          <w:color w:val="0070C0"/>
        </w:rPr>
      </w:pPr>
      <w:r w:rsidRPr="39E040D9">
        <w:rPr>
          <w:color w:val="0070C0"/>
        </w:rPr>
        <w:t xml:space="preserve">The report uses the most recent available traffic data and applies it to both current and </w:t>
      </w:r>
      <w:r w:rsidR="00936F6B" w:rsidRPr="39E040D9">
        <w:rPr>
          <w:color w:val="0070C0"/>
        </w:rPr>
        <w:t xml:space="preserve">historical </w:t>
      </w:r>
      <w:r w:rsidR="00B41E01" w:rsidRPr="39E040D9">
        <w:rPr>
          <w:color w:val="0070C0"/>
        </w:rPr>
        <w:t>measures where a</w:t>
      </w:r>
      <w:r w:rsidR="00067997" w:rsidRPr="39E040D9">
        <w:rPr>
          <w:color w:val="0070C0"/>
        </w:rPr>
        <w:t xml:space="preserve">pplicable. </w:t>
      </w:r>
    </w:p>
    <w:p w14:paraId="63386356" w14:textId="336EB53D" w:rsidR="00914ECD" w:rsidRDefault="5A27101B" w:rsidP="39E040D9">
      <w:pPr>
        <w:rPr>
          <w:color w:val="0070C0"/>
        </w:rPr>
      </w:pPr>
      <w:r w:rsidRPr="215240F2">
        <w:rPr>
          <w:color w:val="0070C0"/>
        </w:rPr>
        <w:t xml:space="preserve">Note: </w:t>
      </w:r>
      <w:r w:rsidR="00CE21FE" w:rsidRPr="215240F2">
        <w:rPr>
          <w:color w:val="0070C0"/>
        </w:rPr>
        <w:t xml:space="preserve">traffic data </w:t>
      </w:r>
      <w:r w:rsidR="50BBF462" w:rsidRPr="215240F2">
        <w:rPr>
          <w:color w:val="0070C0"/>
        </w:rPr>
        <w:t xml:space="preserve">availability </w:t>
      </w:r>
      <w:r w:rsidR="00CE21FE" w:rsidRPr="215240F2">
        <w:rPr>
          <w:color w:val="0070C0"/>
        </w:rPr>
        <w:t xml:space="preserve">lags well behind the end of each calendar year. </w:t>
      </w:r>
    </w:p>
    <w:p w14:paraId="001CC194" w14:textId="4357CEB0" w:rsidR="00914ECD" w:rsidRDefault="715F8BC6" w:rsidP="39E040D9">
      <w:pPr>
        <w:rPr>
          <w:color w:val="0070C0"/>
        </w:rPr>
      </w:pPr>
      <w:r w:rsidRPr="215240F2">
        <w:rPr>
          <w:color w:val="0070C0"/>
        </w:rPr>
        <w:t>E</w:t>
      </w:r>
      <w:r w:rsidR="00067997" w:rsidRPr="215240F2">
        <w:rPr>
          <w:color w:val="0070C0"/>
        </w:rPr>
        <w:t>xample</w:t>
      </w:r>
      <w:r w:rsidR="73FB9A9F" w:rsidRPr="215240F2">
        <w:rPr>
          <w:color w:val="0070C0"/>
        </w:rPr>
        <w:t>:</w:t>
      </w:r>
      <w:r w:rsidR="00067997" w:rsidRPr="215240F2">
        <w:rPr>
          <w:color w:val="0070C0"/>
        </w:rPr>
        <w:t xml:space="preserve"> </w:t>
      </w:r>
      <w:r w:rsidR="6AF9E817" w:rsidRPr="215240F2">
        <w:rPr>
          <w:color w:val="0070C0"/>
        </w:rPr>
        <w:t xml:space="preserve">if you run </w:t>
      </w:r>
      <w:r w:rsidR="3FBE1CAD" w:rsidRPr="215240F2">
        <w:rPr>
          <w:color w:val="0070C0"/>
        </w:rPr>
        <w:t>t</w:t>
      </w:r>
      <w:r w:rsidR="00067997" w:rsidRPr="215240F2">
        <w:rPr>
          <w:color w:val="0070C0"/>
        </w:rPr>
        <w:t>he report in May 2020</w:t>
      </w:r>
      <w:r w:rsidR="4C8ECCCC" w:rsidRPr="215240F2">
        <w:rPr>
          <w:color w:val="0070C0"/>
        </w:rPr>
        <w:t>, you might</w:t>
      </w:r>
      <w:r w:rsidR="00067997" w:rsidRPr="215240F2">
        <w:rPr>
          <w:color w:val="0070C0"/>
        </w:rPr>
        <w:t xml:space="preserve"> expect the HSD</w:t>
      </w:r>
      <w:r w:rsidR="71E735AA" w:rsidRPr="215240F2">
        <w:rPr>
          <w:color w:val="0070C0"/>
        </w:rPr>
        <w:t xml:space="preserve"> (high speed data, </w:t>
      </w:r>
      <w:proofErr w:type="spellStart"/>
      <w:r w:rsidR="71E735AA" w:rsidRPr="215240F2">
        <w:rPr>
          <w:color w:val="0070C0"/>
        </w:rPr>
        <w:t>ie</w:t>
      </w:r>
      <w:proofErr w:type="spellEnd"/>
      <w:r w:rsidR="71E735AA" w:rsidRPr="215240F2">
        <w:rPr>
          <w:color w:val="0070C0"/>
        </w:rPr>
        <w:t xml:space="preserve"> the raw pavement condition data)</w:t>
      </w:r>
      <w:r w:rsidR="00067997" w:rsidRPr="215240F2">
        <w:rPr>
          <w:color w:val="0070C0"/>
        </w:rPr>
        <w:t xml:space="preserve"> to include all surveys up to the 2019/20 summer</w:t>
      </w:r>
      <w:r w:rsidR="6858E9E4" w:rsidRPr="215240F2">
        <w:rPr>
          <w:color w:val="0070C0"/>
        </w:rPr>
        <w:t xml:space="preserve">. However, </w:t>
      </w:r>
      <w:r w:rsidR="00067997" w:rsidRPr="215240F2">
        <w:rPr>
          <w:color w:val="0070C0"/>
        </w:rPr>
        <w:t xml:space="preserve">the most recent available traffic data would be for the calendar year of 2018. </w:t>
      </w:r>
    </w:p>
    <w:p w14:paraId="6945DEC4" w14:textId="20E8B095" w:rsidR="00914ECD" w:rsidRDefault="002E600B" w:rsidP="00254173">
      <w:pPr>
        <w:rPr>
          <w:color w:val="0070C0"/>
        </w:rPr>
      </w:pPr>
      <w:r w:rsidRPr="215240F2">
        <w:rPr>
          <w:color w:val="0070C0"/>
        </w:rPr>
        <w:t xml:space="preserve">If </w:t>
      </w:r>
      <w:r w:rsidR="306C9637" w:rsidRPr="215240F2">
        <w:rPr>
          <w:color w:val="0070C0"/>
        </w:rPr>
        <w:t xml:space="preserve">you run </w:t>
      </w:r>
      <w:r w:rsidRPr="215240F2">
        <w:rPr>
          <w:color w:val="0070C0"/>
        </w:rPr>
        <w:t>the report a few months later</w:t>
      </w:r>
      <w:r w:rsidR="73C3CC23" w:rsidRPr="215240F2">
        <w:rPr>
          <w:color w:val="0070C0"/>
        </w:rPr>
        <w:t xml:space="preserve">, </w:t>
      </w:r>
      <w:r w:rsidRPr="215240F2">
        <w:rPr>
          <w:color w:val="0070C0"/>
        </w:rPr>
        <w:t>it would include the same HSD data but would use 2019 traffic data to calculate any measures where traffic is a relevant factor.</w:t>
      </w:r>
    </w:p>
    <w:p w14:paraId="65E3DA57" w14:textId="77777777" w:rsidR="001C7CAB" w:rsidRDefault="001C7CAB" w:rsidP="00254173">
      <w:pPr>
        <w:rPr>
          <w:color w:val="0070C0"/>
        </w:rPr>
      </w:pPr>
    </w:p>
    <w:p w14:paraId="6EA00817" w14:textId="7DA82776" w:rsidR="00E5578A" w:rsidRPr="00312B97" w:rsidRDefault="00914ECD" w:rsidP="00914ECD">
      <w:pPr>
        <w:pStyle w:val="Heading1"/>
      </w:pPr>
      <w:r>
        <w:t>Measures</w:t>
      </w:r>
    </w:p>
    <w:p w14:paraId="55EA1357" w14:textId="7F08EEFF" w:rsidR="0038230B" w:rsidRPr="00312B97" w:rsidRDefault="00192245" w:rsidP="005E7650">
      <w:pPr>
        <w:rPr>
          <w:color w:val="0070C0"/>
        </w:rPr>
      </w:pPr>
      <w:r w:rsidRPr="02BBF242">
        <w:rPr>
          <w:color w:val="0070C0"/>
        </w:rPr>
        <w:t xml:space="preserve">The following </w:t>
      </w:r>
      <w:r w:rsidR="00224E08" w:rsidRPr="02BBF242">
        <w:rPr>
          <w:color w:val="0070C0"/>
        </w:rPr>
        <w:t>table contains</w:t>
      </w:r>
      <w:r w:rsidRPr="02BBF242">
        <w:rPr>
          <w:color w:val="0070C0"/>
        </w:rPr>
        <w:t xml:space="preserve"> </w:t>
      </w:r>
      <w:r w:rsidR="00277B17" w:rsidRPr="02BBF242">
        <w:rPr>
          <w:color w:val="0070C0"/>
        </w:rPr>
        <w:t xml:space="preserve">aggregated </w:t>
      </w:r>
      <w:r w:rsidRPr="02BBF242">
        <w:rPr>
          <w:color w:val="0070C0"/>
        </w:rPr>
        <w:t>measures.  Some of the reports use colour</w:t>
      </w:r>
      <w:r w:rsidR="263265F0" w:rsidRPr="02BBF242">
        <w:rPr>
          <w:color w:val="0070C0"/>
        </w:rPr>
        <w:t xml:space="preserve"> and </w:t>
      </w:r>
      <w:r w:rsidR="263265F0" w:rsidRPr="2EDD71E5">
        <w:rPr>
          <w:color w:val="0070C0"/>
        </w:rPr>
        <w:t>arro</w:t>
      </w:r>
      <w:r w:rsidR="4108C5A5" w:rsidRPr="2EDD71E5">
        <w:rPr>
          <w:color w:val="0070C0"/>
        </w:rPr>
        <w:t>w</w:t>
      </w:r>
      <w:r w:rsidR="263265F0" w:rsidRPr="2EDD71E5">
        <w:rPr>
          <w:color w:val="0070C0"/>
        </w:rPr>
        <w:t>s</w:t>
      </w:r>
      <w:r w:rsidRPr="02BBF242">
        <w:rPr>
          <w:color w:val="0070C0"/>
        </w:rPr>
        <w:t xml:space="preserve"> to indicate a positive or negative change in comparison to the prior year.  The last column in the table below indicates the positive direction of change</w:t>
      </w:r>
      <w:r w:rsidR="55727948" w:rsidRPr="02BBF242">
        <w:rPr>
          <w:color w:val="0070C0"/>
        </w:rPr>
        <w:t>.</w:t>
      </w:r>
    </w:p>
    <w:p w14:paraId="441AEF59" w14:textId="052523C4" w:rsidR="215240F2" w:rsidRDefault="215240F2" w:rsidP="215240F2">
      <w:pPr>
        <w:rPr>
          <w:color w:val="0070C0"/>
        </w:rPr>
      </w:pPr>
    </w:p>
    <w:p w14:paraId="004C1306" w14:textId="5BB7AE4F" w:rsidR="0D87E522" w:rsidRDefault="0D87E522" w:rsidP="215240F2">
      <w:pPr>
        <w:rPr>
          <w:b/>
          <w:bCs/>
          <w:color w:val="0070C0"/>
        </w:rPr>
      </w:pPr>
      <w:r w:rsidRPr="3500B467">
        <w:rPr>
          <w:b/>
          <w:color w:val="0070C0"/>
        </w:rPr>
        <w:t>Glossary</w:t>
      </w:r>
    </w:p>
    <w:p w14:paraId="4FCF7A60" w14:textId="163C4607" w:rsidR="0D87E522" w:rsidRDefault="0D87E522" w:rsidP="215240F2">
      <w:pPr>
        <w:rPr>
          <w:rFonts w:ascii="Arial" w:eastAsia="Arial" w:hAnsi="Arial" w:cs="Arial"/>
          <w:sz w:val="22"/>
          <w:szCs w:val="22"/>
        </w:rPr>
      </w:pPr>
      <w:r w:rsidRPr="215240F2">
        <w:rPr>
          <w:rFonts w:ascii="Arial" w:eastAsia="Arial" w:hAnsi="Arial" w:cs="Arial"/>
          <w:sz w:val="22"/>
          <w:szCs w:val="22"/>
        </w:rPr>
        <w:t>IL = Investigatory Level</w:t>
      </w:r>
      <w:r w:rsidR="5B1DF6C5" w:rsidRPr="215240F2">
        <w:rPr>
          <w:rFonts w:ascii="Arial" w:eastAsia="Arial" w:hAnsi="Arial" w:cs="Arial"/>
          <w:sz w:val="22"/>
          <w:szCs w:val="22"/>
        </w:rPr>
        <w:t xml:space="preserve">: the threshold at which skid resistance </w:t>
      </w:r>
      <w:r w:rsidR="003C43A7">
        <w:rPr>
          <w:rFonts w:ascii="Arial" w:eastAsia="Arial" w:hAnsi="Arial" w:cs="Arial"/>
          <w:sz w:val="22"/>
          <w:szCs w:val="22"/>
        </w:rPr>
        <w:t>may not be</w:t>
      </w:r>
      <w:r w:rsidR="00F33053">
        <w:rPr>
          <w:rFonts w:ascii="Arial" w:eastAsia="Arial" w:hAnsi="Arial" w:cs="Arial"/>
          <w:sz w:val="22"/>
          <w:szCs w:val="22"/>
        </w:rPr>
        <w:t xml:space="preserve"> sufficient for the particular section of road, and we should </w:t>
      </w:r>
      <w:r w:rsidR="00C31DBD">
        <w:rPr>
          <w:rFonts w:ascii="Arial" w:eastAsia="Arial" w:hAnsi="Arial" w:cs="Arial"/>
          <w:sz w:val="22"/>
          <w:szCs w:val="22"/>
        </w:rPr>
        <w:t xml:space="preserve">consider resealing or </w:t>
      </w:r>
      <w:r w:rsidR="007F4A72">
        <w:rPr>
          <w:rFonts w:ascii="Arial" w:eastAsia="Arial" w:hAnsi="Arial" w:cs="Arial"/>
          <w:sz w:val="22"/>
          <w:szCs w:val="22"/>
        </w:rPr>
        <w:t>maintenance.</w:t>
      </w:r>
    </w:p>
    <w:p w14:paraId="32569F4D" w14:textId="4A6E5454" w:rsidR="727E4F22" w:rsidRDefault="727E4F22" w:rsidP="215240F2">
      <w:pPr>
        <w:rPr>
          <w:rFonts w:ascii="Arial" w:eastAsia="Arial" w:hAnsi="Arial" w:cs="Arial"/>
          <w:sz w:val="22"/>
          <w:szCs w:val="22"/>
        </w:rPr>
      </w:pPr>
      <w:r w:rsidRPr="215240F2">
        <w:rPr>
          <w:rFonts w:ascii="Arial" w:eastAsia="Arial" w:hAnsi="Arial" w:cs="Arial"/>
          <w:sz w:val="22"/>
          <w:szCs w:val="22"/>
        </w:rPr>
        <w:t>TL =</w:t>
      </w:r>
      <w:r w:rsidRPr="2EDD71E5">
        <w:rPr>
          <w:rFonts w:ascii="Arial" w:eastAsia="Arial" w:hAnsi="Arial" w:cs="Arial"/>
          <w:sz w:val="22"/>
          <w:szCs w:val="22"/>
        </w:rPr>
        <w:t xml:space="preserve"> </w:t>
      </w:r>
      <w:r w:rsidR="682666F8" w:rsidRPr="2EDD71E5">
        <w:rPr>
          <w:rFonts w:ascii="Arial" w:eastAsia="Arial" w:hAnsi="Arial" w:cs="Arial"/>
          <w:sz w:val="22"/>
          <w:szCs w:val="22"/>
        </w:rPr>
        <w:t xml:space="preserve">Treatment </w:t>
      </w:r>
      <w:r w:rsidR="2D7848CE" w:rsidRPr="2EDD71E5">
        <w:rPr>
          <w:rFonts w:ascii="Arial" w:eastAsia="Arial" w:hAnsi="Arial" w:cs="Arial"/>
          <w:sz w:val="22"/>
          <w:szCs w:val="22"/>
        </w:rPr>
        <w:t>L</w:t>
      </w:r>
      <w:r w:rsidR="682666F8" w:rsidRPr="2EDD71E5">
        <w:rPr>
          <w:rFonts w:ascii="Arial" w:eastAsia="Arial" w:hAnsi="Arial" w:cs="Arial"/>
          <w:sz w:val="22"/>
          <w:szCs w:val="22"/>
        </w:rPr>
        <w:t>evel: stricter than the investigatory level and requires prompt remedial action.</w:t>
      </w:r>
    </w:p>
    <w:p w14:paraId="479383CF" w14:textId="556718B1" w:rsidR="0D87E522" w:rsidRDefault="0D87E522">
      <w:pPr>
        <w:rPr>
          <w:rFonts w:ascii="Arial" w:eastAsia="Arial" w:hAnsi="Arial" w:cs="Arial"/>
          <w:sz w:val="22"/>
          <w:szCs w:val="22"/>
        </w:rPr>
      </w:pPr>
      <w:r w:rsidRPr="215240F2">
        <w:rPr>
          <w:rFonts w:ascii="Arial" w:eastAsia="Arial" w:hAnsi="Arial" w:cs="Arial"/>
          <w:sz w:val="22"/>
          <w:szCs w:val="22"/>
        </w:rPr>
        <w:t>VKT = Vehicle Kilometres Travelled</w:t>
      </w:r>
      <w:r w:rsidR="3C3D08B1" w:rsidRPr="2EDD71E5">
        <w:rPr>
          <w:rFonts w:ascii="Arial" w:eastAsia="Arial" w:hAnsi="Arial" w:cs="Arial"/>
          <w:sz w:val="22"/>
          <w:szCs w:val="22"/>
        </w:rPr>
        <w:t>.</w:t>
      </w:r>
    </w:p>
    <w:p w14:paraId="114B788B" w14:textId="1DBE4142" w:rsidR="215240F2" w:rsidRDefault="215240F2" w:rsidP="215240F2">
      <w:pPr>
        <w:rPr>
          <w:color w:val="0070C0"/>
        </w:rPr>
      </w:pPr>
    </w:p>
    <w:tbl>
      <w:tblPr>
        <w:tblStyle w:val="TableGrid1"/>
        <w:tblW w:w="10060" w:type="dxa"/>
        <w:tblLook w:val="04A0" w:firstRow="1" w:lastRow="0" w:firstColumn="1" w:lastColumn="0" w:noHBand="0" w:noVBand="1"/>
      </w:tblPr>
      <w:tblGrid>
        <w:gridCol w:w="3060"/>
        <w:gridCol w:w="2140"/>
        <w:gridCol w:w="3017"/>
        <w:gridCol w:w="1843"/>
      </w:tblGrid>
      <w:tr w:rsidR="00192245" w:rsidRPr="007C31F0" w14:paraId="3E112B33" w14:textId="17AF103F" w:rsidTr="215240F2">
        <w:trPr>
          <w:trHeight w:val="315"/>
        </w:trPr>
        <w:tc>
          <w:tcPr>
            <w:tcW w:w="3060" w:type="dxa"/>
            <w:shd w:val="clear" w:color="auto" w:fill="CDE4F4" w:themeFill="accent1" w:themeFillTint="33"/>
            <w:noWrap/>
            <w:hideMark/>
          </w:tcPr>
          <w:p w14:paraId="7D8D698C" w14:textId="77777777" w:rsidR="00192245" w:rsidRPr="007C31F0" w:rsidRDefault="00192245" w:rsidP="007C31F0">
            <w:pPr>
              <w:rPr>
                <w:b/>
                <w:color w:val="002060"/>
              </w:rPr>
            </w:pPr>
            <w:r w:rsidRPr="007C31F0">
              <w:rPr>
                <w:b/>
                <w:color w:val="002060"/>
              </w:rPr>
              <w:t>Name</w:t>
            </w:r>
          </w:p>
        </w:tc>
        <w:tc>
          <w:tcPr>
            <w:tcW w:w="2140" w:type="dxa"/>
            <w:shd w:val="clear" w:color="auto" w:fill="CDE4F4" w:themeFill="accent1" w:themeFillTint="33"/>
            <w:hideMark/>
          </w:tcPr>
          <w:p w14:paraId="35171ABE" w14:textId="77777777" w:rsidR="00192245" w:rsidRPr="007C31F0" w:rsidRDefault="00192245" w:rsidP="007C31F0">
            <w:pPr>
              <w:rPr>
                <w:b/>
                <w:color w:val="002060"/>
              </w:rPr>
            </w:pPr>
            <w:r w:rsidRPr="007C31F0">
              <w:rPr>
                <w:b/>
                <w:color w:val="002060"/>
              </w:rPr>
              <w:t>Formula</w:t>
            </w:r>
          </w:p>
        </w:tc>
        <w:tc>
          <w:tcPr>
            <w:tcW w:w="3017" w:type="dxa"/>
            <w:shd w:val="clear" w:color="auto" w:fill="CDE4F4" w:themeFill="accent1" w:themeFillTint="33"/>
            <w:hideMark/>
          </w:tcPr>
          <w:p w14:paraId="5269C0AA" w14:textId="0177EAE1" w:rsidR="00192245" w:rsidRPr="007C31F0" w:rsidRDefault="00192245" w:rsidP="39E040D9">
            <w:pPr>
              <w:rPr>
                <w:b/>
                <w:bCs/>
                <w:color w:val="002060"/>
              </w:rPr>
            </w:pPr>
            <w:r w:rsidRPr="39E040D9">
              <w:rPr>
                <w:b/>
                <w:bCs/>
                <w:color w:val="002060"/>
              </w:rPr>
              <w:t>Definition</w:t>
            </w:r>
          </w:p>
        </w:tc>
        <w:tc>
          <w:tcPr>
            <w:tcW w:w="1843" w:type="dxa"/>
            <w:shd w:val="clear" w:color="auto" w:fill="CDE4F4" w:themeFill="accent1" w:themeFillTint="33"/>
          </w:tcPr>
          <w:p w14:paraId="320EF6FC" w14:textId="0D58DD40" w:rsidR="00192245" w:rsidRPr="007C31F0" w:rsidRDefault="00192245" w:rsidP="007C31F0">
            <w:pPr>
              <w:rPr>
                <w:b/>
                <w:color w:val="002060"/>
              </w:rPr>
            </w:pPr>
            <w:r>
              <w:rPr>
                <w:b/>
                <w:color w:val="002060"/>
              </w:rPr>
              <w:t>Positive Change Direction</w:t>
            </w:r>
          </w:p>
        </w:tc>
      </w:tr>
      <w:tr w:rsidR="00192245" w:rsidRPr="007C31F0" w14:paraId="6AB0DEEA" w14:textId="032600EF" w:rsidTr="215240F2">
        <w:trPr>
          <w:trHeight w:val="1800"/>
        </w:trPr>
        <w:tc>
          <w:tcPr>
            <w:tcW w:w="3060" w:type="dxa"/>
            <w:noWrap/>
            <w:hideMark/>
          </w:tcPr>
          <w:p w14:paraId="33B31D84" w14:textId="77777777" w:rsidR="00192245" w:rsidRPr="007C31F0" w:rsidRDefault="00192245" w:rsidP="007C31F0">
            <w:pPr>
              <w:rPr>
                <w:color w:val="002060"/>
              </w:rPr>
            </w:pPr>
            <w:r w:rsidRPr="215240F2">
              <w:rPr>
                <w:color w:val="002060"/>
              </w:rPr>
              <w:t>Good Skid Exposure IL %</w:t>
            </w:r>
          </w:p>
        </w:tc>
        <w:tc>
          <w:tcPr>
            <w:tcW w:w="2140" w:type="dxa"/>
            <w:hideMark/>
          </w:tcPr>
          <w:p w14:paraId="7980308F" w14:textId="7524D7D9" w:rsidR="00192245" w:rsidRPr="007C31F0" w:rsidRDefault="00192245" w:rsidP="007C31F0">
            <w:pPr>
              <w:rPr>
                <w:color w:val="002060"/>
              </w:rPr>
            </w:pPr>
            <w:r w:rsidRPr="215240F2">
              <w:rPr>
                <w:color w:val="002060"/>
              </w:rPr>
              <w:t xml:space="preserve">(Sum(Skid Resistance Good Row Count * </w:t>
            </w:r>
            <w:r w:rsidR="2E431642" w:rsidRPr="2EDD71E5">
              <w:rPr>
                <w:color w:val="002060"/>
              </w:rPr>
              <w:t>skid</w:t>
            </w:r>
            <w:r w:rsidR="0895881E" w:rsidRPr="215240F2">
              <w:rPr>
                <w:color w:val="002060"/>
              </w:rPr>
              <w:t xml:space="preserve"> coefficient</w:t>
            </w:r>
            <w:r w:rsidRPr="215240F2">
              <w:rPr>
                <w:color w:val="002060"/>
              </w:rPr>
              <w:t xml:space="preserve"> Good IL Count * VKT)) / (Sum(Skid Resistance Good Row Count * VKT))</w:t>
            </w:r>
          </w:p>
        </w:tc>
        <w:tc>
          <w:tcPr>
            <w:tcW w:w="3017" w:type="dxa"/>
            <w:hideMark/>
          </w:tcPr>
          <w:p w14:paraId="45D3D576" w14:textId="6F35A550" w:rsidR="00192245" w:rsidRPr="007C31F0" w:rsidRDefault="00192245" w:rsidP="007C31F0">
            <w:pPr>
              <w:rPr>
                <w:color w:val="002060"/>
              </w:rPr>
            </w:pPr>
            <w:r w:rsidRPr="215240F2">
              <w:rPr>
                <w:color w:val="002060"/>
              </w:rPr>
              <w:t xml:space="preserve">GSE-IL - an indication of the volume of traffic exposed to highway lengths that are currently above the investigation level (less than and equal to 0) for providing good skid resistant road surfaces.  This GSE-IL is presented </w:t>
            </w:r>
            <w:r w:rsidR="28AA88B2" w:rsidRPr="2EDD71E5">
              <w:rPr>
                <w:color w:val="002060"/>
              </w:rPr>
              <w:t>as</w:t>
            </w:r>
            <w:r w:rsidR="0EE9D03B" w:rsidRPr="215240F2">
              <w:rPr>
                <w:color w:val="002060"/>
              </w:rPr>
              <w:t xml:space="preserve"> a</w:t>
            </w:r>
            <w:r w:rsidRPr="215240F2">
              <w:rPr>
                <w:color w:val="002060"/>
              </w:rPr>
              <w:t xml:space="preserve"> proportion of the traffic volume exposed to surfaces with skid resistance better than the investigatory level.  The percentage near 100% shows better GSE (a 100% value indicates a 'perfect' network with all areas above the IL).  The results are based on the skid site classification.</w:t>
            </w:r>
          </w:p>
        </w:tc>
        <w:tc>
          <w:tcPr>
            <w:tcW w:w="1843" w:type="dxa"/>
          </w:tcPr>
          <w:p w14:paraId="63FE8D11" w14:textId="02410690" w:rsidR="00192245" w:rsidRPr="007C31F0" w:rsidRDefault="00192245" w:rsidP="007C31F0">
            <w:pPr>
              <w:rPr>
                <w:color w:val="002060"/>
              </w:rPr>
            </w:pPr>
            <w:r w:rsidRPr="215240F2">
              <w:rPr>
                <w:color w:val="002060"/>
              </w:rPr>
              <w:t>Up</w:t>
            </w:r>
            <w:r w:rsidR="689DAC96" w:rsidRPr="215240F2">
              <w:rPr>
                <w:color w:val="002060"/>
              </w:rPr>
              <w:t xml:space="preserve"> =</w:t>
            </w:r>
            <w:r w:rsidRPr="215240F2">
              <w:rPr>
                <w:color w:val="002060"/>
              </w:rPr>
              <w:t xml:space="preserve"> improvement</w:t>
            </w:r>
            <w:r w:rsidR="64FAC4B4" w:rsidRPr="215240F2">
              <w:rPr>
                <w:color w:val="002060"/>
              </w:rPr>
              <w:t>.</w:t>
            </w:r>
          </w:p>
        </w:tc>
      </w:tr>
      <w:tr w:rsidR="00192245" w:rsidRPr="007C31F0" w14:paraId="3771C955" w14:textId="3776A084" w:rsidTr="215240F2">
        <w:trPr>
          <w:trHeight w:val="1200"/>
        </w:trPr>
        <w:tc>
          <w:tcPr>
            <w:tcW w:w="3060" w:type="dxa"/>
            <w:noWrap/>
            <w:hideMark/>
          </w:tcPr>
          <w:p w14:paraId="1E64A90D" w14:textId="77777777" w:rsidR="00192245" w:rsidRPr="007C31F0" w:rsidRDefault="00192245" w:rsidP="007C31F0">
            <w:pPr>
              <w:rPr>
                <w:color w:val="002060"/>
              </w:rPr>
            </w:pPr>
            <w:r w:rsidRPr="007C31F0">
              <w:rPr>
                <w:color w:val="002060"/>
              </w:rPr>
              <w:t>Good Skid Exposure TL %</w:t>
            </w:r>
          </w:p>
        </w:tc>
        <w:tc>
          <w:tcPr>
            <w:tcW w:w="2140" w:type="dxa"/>
            <w:hideMark/>
          </w:tcPr>
          <w:p w14:paraId="16B61CBC" w14:textId="2D6B165B" w:rsidR="00192245" w:rsidRPr="007C31F0" w:rsidRDefault="00192245" w:rsidP="007C31F0">
            <w:pPr>
              <w:rPr>
                <w:color w:val="002060"/>
              </w:rPr>
            </w:pPr>
            <w:r w:rsidRPr="215240F2">
              <w:rPr>
                <w:color w:val="002060"/>
              </w:rPr>
              <w:t xml:space="preserve">(Sum(Skid Resistance Good Row Count * </w:t>
            </w:r>
            <w:r w:rsidR="145DE2BD" w:rsidRPr="2EDD71E5">
              <w:rPr>
                <w:color w:val="002060"/>
              </w:rPr>
              <w:t>skid</w:t>
            </w:r>
            <w:r w:rsidR="4AA231F9" w:rsidRPr="215240F2">
              <w:rPr>
                <w:color w:val="002060"/>
              </w:rPr>
              <w:t xml:space="preserve"> coefficient</w:t>
            </w:r>
            <w:r w:rsidRPr="215240F2">
              <w:rPr>
                <w:color w:val="002060"/>
              </w:rPr>
              <w:t xml:space="preserve"> Good TL Count * VKT)) / (Sum(Skid Resistance Good Row Count * VKT))</w:t>
            </w:r>
          </w:p>
        </w:tc>
        <w:tc>
          <w:tcPr>
            <w:tcW w:w="3017" w:type="dxa"/>
            <w:hideMark/>
          </w:tcPr>
          <w:p w14:paraId="637916EF" w14:textId="53FDC423" w:rsidR="00192245" w:rsidRPr="007C31F0" w:rsidRDefault="00192245" w:rsidP="007C31F0">
            <w:pPr>
              <w:rPr>
                <w:color w:val="002060"/>
              </w:rPr>
            </w:pPr>
            <w:r w:rsidRPr="007C31F0">
              <w:rPr>
                <w:color w:val="002060"/>
              </w:rPr>
              <w:t>GSE-TL - an indication of the volume of traffic exposed to highway lengths that are currently above the investigation level (less than and equal to -0.1) for providing good skid resistant road surfaces.  This GSE-TL is presented in the proportion of the traffic volume exposed to surfaces better than the threshold level.  The results are based on the skid site classification.</w:t>
            </w:r>
          </w:p>
        </w:tc>
        <w:tc>
          <w:tcPr>
            <w:tcW w:w="1843" w:type="dxa"/>
          </w:tcPr>
          <w:p w14:paraId="5CF8C28A" w14:textId="1CC402E9" w:rsidR="00192245" w:rsidRPr="007C31F0" w:rsidRDefault="00192245" w:rsidP="007C31F0">
            <w:pPr>
              <w:rPr>
                <w:color w:val="002060"/>
              </w:rPr>
            </w:pPr>
            <w:r w:rsidRPr="215240F2">
              <w:rPr>
                <w:color w:val="002060"/>
              </w:rPr>
              <w:t xml:space="preserve">Up </w:t>
            </w:r>
            <w:r w:rsidR="58F19581" w:rsidRPr="215240F2">
              <w:rPr>
                <w:color w:val="002060"/>
              </w:rPr>
              <w:t>=</w:t>
            </w:r>
            <w:r w:rsidRPr="215240F2">
              <w:rPr>
                <w:color w:val="002060"/>
              </w:rPr>
              <w:t xml:space="preserve"> improvement</w:t>
            </w:r>
            <w:r w:rsidR="7CC98863" w:rsidRPr="215240F2">
              <w:rPr>
                <w:color w:val="002060"/>
              </w:rPr>
              <w:t>.</w:t>
            </w:r>
          </w:p>
        </w:tc>
      </w:tr>
      <w:tr w:rsidR="00192245" w:rsidRPr="007C31F0" w14:paraId="432A345E" w14:textId="4E4C1920" w:rsidTr="215240F2">
        <w:trPr>
          <w:trHeight w:val="600"/>
        </w:trPr>
        <w:tc>
          <w:tcPr>
            <w:tcW w:w="3060" w:type="dxa"/>
            <w:noWrap/>
            <w:hideMark/>
          </w:tcPr>
          <w:p w14:paraId="23459B0C" w14:textId="77777777" w:rsidR="00192245" w:rsidRPr="007C31F0" w:rsidRDefault="00192245" w:rsidP="007C31F0">
            <w:pPr>
              <w:rPr>
                <w:color w:val="002060"/>
              </w:rPr>
            </w:pPr>
            <w:r w:rsidRPr="007C31F0">
              <w:rPr>
                <w:color w:val="002060"/>
              </w:rPr>
              <w:t>Average NAASRA</w:t>
            </w:r>
          </w:p>
        </w:tc>
        <w:tc>
          <w:tcPr>
            <w:tcW w:w="2140" w:type="dxa"/>
            <w:hideMark/>
          </w:tcPr>
          <w:p w14:paraId="4059D4AE" w14:textId="5C7B20B7" w:rsidR="00192245" w:rsidRPr="007C31F0" w:rsidRDefault="00192245" w:rsidP="007C31F0">
            <w:pPr>
              <w:rPr>
                <w:color w:val="002060"/>
              </w:rPr>
            </w:pPr>
            <w:r w:rsidRPr="007C31F0">
              <w:rPr>
                <w:color w:val="002060"/>
              </w:rPr>
              <w:t>SUM(NAASRA) / SUM(Roughness Row Count)</w:t>
            </w:r>
          </w:p>
        </w:tc>
        <w:tc>
          <w:tcPr>
            <w:tcW w:w="3017" w:type="dxa"/>
            <w:hideMark/>
          </w:tcPr>
          <w:p w14:paraId="5140EF53" w14:textId="77777777" w:rsidR="00192245" w:rsidRPr="007C31F0" w:rsidRDefault="00192245" w:rsidP="007C31F0">
            <w:pPr>
              <w:rPr>
                <w:color w:val="002060"/>
              </w:rPr>
            </w:pPr>
            <w:r w:rsidRPr="007C31F0">
              <w:rPr>
                <w:color w:val="002060"/>
              </w:rPr>
              <w:t>Average Roughness - The average roughness is in NAASRA units. The higher the number the rougher the road.</w:t>
            </w:r>
          </w:p>
        </w:tc>
        <w:tc>
          <w:tcPr>
            <w:tcW w:w="1843" w:type="dxa"/>
          </w:tcPr>
          <w:p w14:paraId="586CB72A" w14:textId="6641BF96" w:rsidR="00192245" w:rsidRPr="007C31F0" w:rsidRDefault="00192245" w:rsidP="007C31F0">
            <w:pPr>
              <w:rPr>
                <w:color w:val="002060"/>
              </w:rPr>
            </w:pPr>
            <w:r w:rsidRPr="215240F2">
              <w:rPr>
                <w:color w:val="002060"/>
              </w:rPr>
              <w:t xml:space="preserve">Down </w:t>
            </w:r>
            <w:r w:rsidR="23CBAB50" w:rsidRPr="215240F2">
              <w:rPr>
                <w:color w:val="002060"/>
              </w:rPr>
              <w:t>=</w:t>
            </w:r>
            <w:r w:rsidRPr="215240F2">
              <w:rPr>
                <w:color w:val="002060"/>
              </w:rPr>
              <w:t xml:space="preserve"> improvement</w:t>
            </w:r>
            <w:r w:rsidR="28F2CF30" w:rsidRPr="215240F2">
              <w:rPr>
                <w:color w:val="002060"/>
              </w:rPr>
              <w:t>.</w:t>
            </w:r>
          </w:p>
        </w:tc>
      </w:tr>
      <w:tr w:rsidR="00192245" w:rsidRPr="007C31F0" w14:paraId="6A26A730" w14:textId="5DBBBE97" w:rsidTr="215240F2">
        <w:trPr>
          <w:trHeight w:val="1500"/>
        </w:trPr>
        <w:tc>
          <w:tcPr>
            <w:tcW w:w="3060" w:type="dxa"/>
            <w:noWrap/>
            <w:hideMark/>
          </w:tcPr>
          <w:p w14:paraId="4527E598" w14:textId="77777777" w:rsidR="00192245" w:rsidRPr="007C31F0" w:rsidRDefault="00192245" w:rsidP="007C31F0">
            <w:pPr>
              <w:rPr>
                <w:color w:val="002060"/>
              </w:rPr>
            </w:pPr>
            <w:r w:rsidRPr="007C31F0">
              <w:rPr>
                <w:color w:val="002060"/>
              </w:rPr>
              <w:t>NAASRA Above Threshold %</w:t>
            </w:r>
          </w:p>
        </w:tc>
        <w:tc>
          <w:tcPr>
            <w:tcW w:w="2140" w:type="dxa"/>
            <w:hideMark/>
          </w:tcPr>
          <w:p w14:paraId="269FE431" w14:textId="77777777" w:rsidR="00192245" w:rsidRPr="007C31F0" w:rsidRDefault="00192245" w:rsidP="007C31F0">
            <w:pPr>
              <w:rPr>
                <w:color w:val="002060"/>
              </w:rPr>
            </w:pPr>
            <w:r w:rsidRPr="007C31F0">
              <w:rPr>
                <w:color w:val="002060"/>
              </w:rPr>
              <w:t>Sum(NAASRA Above Threshold) / Sum(Roughness Row Count)</w:t>
            </w:r>
          </w:p>
        </w:tc>
        <w:tc>
          <w:tcPr>
            <w:tcW w:w="3017" w:type="dxa"/>
            <w:hideMark/>
          </w:tcPr>
          <w:p w14:paraId="5F01FBD3" w14:textId="77777777" w:rsidR="00192245" w:rsidRPr="007C31F0" w:rsidRDefault="00192245" w:rsidP="007C31F0">
            <w:pPr>
              <w:rPr>
                <w:color w:val="002060"/>
              </w:rPr>
            </w:pPr>
            <w:r w:rsidRPr="007C31F0">
              <w:rPr>
                <w:color w:val="002060"/>
              </w:rPr>
              <w:t>Roughness in excess of a defined upper threshold level for each road category - the extent of the network where smooth travel is not delivered.  The average roughness is in NAASRA units. The higher the number the rougher the road. The smaller the percentage of roads (by length) exceeding the threshold level the lower the average roughness. This measure does not account for traffic volumes.</w:t>
            </w:r>
          </w:p>
        </w:tc>
        <w:tc>
          <w:tcPr>
            <w:tcW w:w="1843" w:type="dxa"/>
          </w:tcPr>
          <w:p w14:paraId="068B9C1F" w14:textId="12C61B5E" w:rsidR="00192245" w:rsidRPr="007C31F0" w:rsidRDefault="00192245" w:rsidP="007C31F0">
            <w:pPr>
              <w:rPr>
                <w:color w:val="002060"/>
              </w:rPr>
            </w:pPr>
            <w:r w:rsidRPr="215240F2">
              <w:rPr>
                <w:color w:val="002060"/>
              </w:rPr>
              <w:t xml:space="preserve">Down </w:t>
            </w:r>
            <w:r w:rsidR="5CA9A814" w:rsidRPr="215240F2">
              <w:rPr>
                <w:color w:val="002060"/>
              </w:rPr>
              <w:t>=</w:t>
            </w:r>
            <w:r w:rsidRPr="215240F2">
              <w:rPr>
                <w:color w:val="002060"/>
              </w:rPr>
              <w:t xml:space="preserve"> improvement</w:t>
            </w:r>
            <w:r w:rsidR="6150907A" w:rsidRPr="215240F2">
              <w:rPr>
                <w:color w:val="002060"/>
              </w:rPr>
              <w:t>.</w:t>
            </w:r>
          </w:p>
        </w:tc>
      </w:tr>
      <w:tr w:rsidR="00192245" w:rsidRPr="007C31F0" w14:paraId="3B836117" w14:textId="34F10F01" w:rsidTr="215240F2">
        <w:trPr>
          <w:trHeight w:val="1200"/>
        </w:trPr>
        <w:tc>
          <w:tcPr>
            <w:tcW w:w="3060" w:type="dxa"/>
            <w:noWrap/>
            <w:hideMark/>
          </w:tcPr>
          <w:p w14:paraId="67E8DEF6" w14:textId="77777777" w:rsidR="00192245" w:rsidRPr="007C31F0" w:rsidRDefault="00192245" w:rsidP="007C31F0">
            <w:pPr>
              <w:rPr>
                <w:color w:val="002060"/>
              </w:rPr>
            </w:pPr>
            <w:r w:rsidRPr="007C31F0">
              <w:rPr>
                <w:color w:val="002060"/>
              </w:rPr>
              <w:t>NAASRA Above 150 %</w:t>
            </w:r>
          </w:p>
        </w:tc>
        <w:tc>
          <w:tcPr>
            <w:tcW w:w="2140" w:type="dxa"/>
            <w:hideMark/>
          </w:tcPr>
          <w:p w14:paraId="6BBE6D3D" w14:textId="77777777" w:rsidR="00192245" w:rsidRPr="007C31F0" w:rsidRDefault="00192245" w:rsidP="007C31F0">
            <w:pPr>
              <w:rPr>
                <w:color w:val="002060"/>
              </w:rPr>
            </w:pPr>
            <w:r w:rsidRPr="007C31F0">
              <w:rPr>
                <w:color w:val="002060"/>
              </w:rPr>
              <w:t>Sum(NAASRA Above 150) / Sum(Roughness Row Count)</w:t>
            </w:r>
          </w:p>
        </w:tc>
        <w:tc>
          <w:tcPr>
            <w:tcW w:w="3017" w:type="dxa"/>
            <w:hideMark/>
          </w:tcPr>
          <w:p w14:paraId="0371B041" w14:textId="77777777" w:rsidR="00192245" w:rsidRPr="007C31F0" w:rsidRDefault="00192245" w:rsidP="007C31F0">
            <w:pPr>
              <w:rPr>
                <w:color w:val="002060"/>
              </w:rPr>
            </w:pPr>
            <w:r w:rsidRPr="007C31F0">
              <w:rPr>
                <w:color w:val="002060"/>
              </w:rPr>
              <w:t>Roughness in excess of a score of 150 - the extent of the network where smooth travel is not delivered.  The average roughness is in NAASRA units. The higher the number the rougher the road. The smaller the percentage of roads (by length) exceeding the threshold level the lower the average roughness. This measure does not account for traffic volumes.</w:t>
            </w:r>
          </w:p>
        </w:tc>
        <w:tc>
          <w:tcPr>
            <w:tcW w:w="1843" w:type="dxa"/>
          </w:tcPr>
          <w:p w14:paraId="1ED9669E" w14:textId="509ABE9B" w:rsidR="00192245" w:rsidRPr="007C31F0" w:rsidRDefault="00192245" w:rsidP="007C31F0">
            <w:pPr>
              <w:rPr>
                <w:color w:val="002060"/>
              </w:rPr>
            </w:pPr>
            <w:r w:rsidRPr="215240F2">
              <w:rPr>
                <w:color w:val="002060"/>
              </w:rPr>
              <w:t xml:space="preserve">Down </w:t>
            </w:r>
            <w:r w:rsidR="54C2D010" w:rsidRPr="215240F2">
              <w:rPr>
                <w:color w:val="002060"/>
              </w:rPr>
              <w:t>=</w:t>
            </w:r>
            <w:r w:rsidRPr="215240F2">
              <w:rPr>
                <w:color w:val="002060"/>
              </w:rPr>
              <w:t xml:space="preserve"> improvement</w:t>
            </w:r>
            <w:r w:rsidR="410D2CC8" w:rsidRPr="215240F2">
              <w:rPr>
                <w:color w:val="002060"/>
              </w:rPr>
              <w:t>.</w:t>
            </w:r>
          </w:p>
        </w:tc>
      </w:tr>
      <w:tr w:rsidR="00192245" w:rsidRPr="007C31F0" w14:paraId="6906D379" w14:textId="1542794B" w:rsidTr="215240F2">
        <w:trPr>
          <w:trHeight w:val="1500"/>
        </w:trPr>
        <w:tc>
          <w:tcPr>
            <w:tcW w:w="3060" w:type="dxa"/>
            <w:noWrap/>
            <w:hideMark/>
          </w:tcPr>
          <w:p w14:paraId="3A308107" w14:textId="77777777" w:rsidR="00192245" w:rsidRPr="007C31F0" w:rsidRDefault="00192245" w:rsidP="007C31F0">
            <w:pPr>
              <w:rPr>
                <w:color w:val="002060"/>
              </w:rPr>
            </w:pPr>
            <w:r w:rsidRPr="007C31F0">
              <w:rPr>
                <w:color w:val="002060"/>
              </w:rPr>
              <w:t>Smooth Travel Exposure %</w:t>
            </w:r>
          </w:p>
        </w:tc>
        <w:tc>
          <w:tcPr>
            <w:tcW w:w="2140" w:type="dxa"/>
            <w:hideMark/>
          </w:tcPr>
          <w:p w14:paraId="71D2C2EE" w14:textId="77777777" w:rsidR="00192245" w:rsidRPr="007C31F0" w:rsidRDefault="00192245" w:rsidP="007C31F0">
            <w:pPr>
              <w:rPr>
                <w:color w:val="002060"/>
              </w:rPr>
            </w:pPr>
            <w:r w:rsidRPr="007C31F0">
              <w:rPr>
                <w:color w:val="002060"/>
              </w:rPr>
              <w:t>(Sum(Smooth Travel Exposure * VKT))  /  (Sum(Roughness Row Count * VKT))</w:t>
            </w:r>
          </w:p>
        </w:tc>
        <w:tc>
          <w:tcPr>
            <w:tcW w:w="3017" w:type="dxa"/>
            <w:hideMark/>
          </w:tcPr>
          <w:p w14:paraId="3D8D190D" w14:textId="7541A1E3" w:rsidR="00192245" w:rsidRPr="007C31F0" w:rsidRDefault="00192245" w:rsidP="007C31F0">
            <w:pPr>
              <w:rPr>
                <w:color w:val="002060"/>
              </w:rPr>
            </w:pPr>
            <w:r w:rsidRPr="215240F2">
              <w:rPr>
                <w:color w:val="002060"/>
              </w:rPr>
              <w:t xml:space="preserve">Smoothness based on NAASRA score below threshold and excluding rows where the pavement type is U  </w:t>
            </w:r>
            <w:r w:rsidR="3FA59EF7" w:rsidRPr="215240F2">
              <w:rPr>
                <w:color w:val="002060"/>
              </w:rPr>
              <w:t xml:space="preserve">(unsealed) </w:t>
            </w:r>
            <w:r w:rsidRPr="215240F2">
              <w:rPr>
                <w:color w:val="002060"/>
              </w:rPr>
              <w:t>- the extent of the network where smooth travel is not delivered.  The average roughness is in NAASRA units. The higher the number the rougher the road. The smaller the percentage of roads (by length) exceeding the threshold level the lower the average roughness. This measure does not account for traffic volumes.</w:t>
            </w:r>
          </w:p>
        </w:tc>
        <w:tc>
          <w:tcPr>
            <w:tcW w:w="1843" w:type="dxa"/>
          </w:tcPr>
          <w:p w14:paraId="3233E712" w14:textId="53FF16F4" w:rsidR="00192245" w:rsidRPr="007C31F0" w:rsidRDefault="00192245" w:rsidP="007C31F0">
            <w:pPr>
              <w:rPr>
                <w:color w:val="002060"/>
              </w:rPr>
            </w:pPr>
            <w:r w:rsidRPr="215240F2">
              <w:rPr>
                <w:color w:val="002060"/>
              </w:rPr>
              <w:t xml:space="preserve">Up </w:t>
            </w:r>
            <w:r w:rsidR="7AD7F471" w:rsidRPr="2EDD71E5">
              <w:rPr>
                <w:color w:val="002060"/>
              </w:rPr>
              <w:t>=</w:t>
            </w:r>
            <w:r w:rsidRPr="215240F2">
              <w:rPr>
                <w:color w:val="002060"/>
              </w:rPr>
              <w:t>improvement</w:t>
            </w:r>
            <w:r w:rsidR="727C4C91" w:rsidRPr="215240F2">
              <w:rPr>
                <w:color w:val="002060"/>
              </w:rPr>
              <w:t>.</w:t>
            </w:r>
          </w:p>
        </w:tc>
      </w:tr>
      <w:tr w:rsidR="00192245" w:rsidRPr="007C31F0" w14:paraId="3F953BE4" w14:textId="0C34798E" w:rsidTr="215240F2">
        <w:trPr>
          <w:trHeight w:val="600"/>
        </w:trPr>
        <w:tc>
          <w:tcPr>
            <w:tcW w:w="3060" w:type="dxa"/>
            <w:noWrap/>
            <w:hideMark/>
          </w:tcPr>
          <w:p w14:paraId="45EBBB4C" w14:textId="77777777" w:rsidR="00192245" w:rsidRPr="007C31F0" w:rsidRDefault="00192245" w:rsidP="007C31F0">
            <w:pPr>
              <w:rPr>
                <w:color w:val="002060"/>
              </w:rPr>
            </w:pPr>
            <w:r w:rsidRPr="007C31F0">
              <w:rPr>
                <w:color w:val="002060"/>
              </w:rPr>
              <w:t>Rutting Greater Than 10mm %</w:t>
            </w:r>
          </w:p>
        </w:tc>
        <w:tc>
          <w:tcPr>
            <w:tcW w:w="2140" w:type="dxa"/>
            <w:hideMark/>
          </w:tcPr>
          <w:p w14:paraId="7F7D337D" w14:textId="77777777" w:rsidR="00192245" w:rsidRPr="007C31F0" w:rsidRDefault="00192245" w:rsidP="007C31F0">
            <w:pPr>
              <w:rPr>
                <w:color w:val="002060"/>
              </w:rPr>
            </w:pPr>
            <w:r w:rsidRPr="007C31F0">
              <w:rPr>
                <w:color w:val="002060"/>
              </w:rPr>
              <w:t>Sum(Rutting Greater Than 10mm) / Sum(Wheel Path)</w:t>
            </w:r>
          </w:p>
        </w:tc>
        <w:tc>
          <w:tcPr>
            <w:tcW w:w="3017" w:type="dxa"/>
            <w:hideMark/>
          </w:tcPr>
          <w:p w14:paraId="012D3D4C" w14:textId="77777777" w:rsidR="00192245" w:rsidRPr="007C31F0" w:rsidRDefault="00192245" w:rsidP="007C31F0">
            <w:pPr>
              <w:rPr>
                <w:color w:val="002060"/>
              </w:rPr>
            </w:pPr>
            <w:r w:rsidRPr="007C31F0">
              <w:rPr>
                <w:color w:val="002060"/>
              </w:rPr>
              <w:t>Rutting greater than 10mm in depth and distribution of rutting (by length) - indicators of performance of the network in terms of resilience. The lower the percentage the better.</w:t>
            </w:r>
          </w:p>
        </w:tc>
        <w:tc>
          <w:tcPr>
            <w:tcW w:w="1843" w:type="dxa"/>
          </w:tcPr>
          <w:p w14:paraId="5427F229" w14:textId="4A578C1C" w:rsidR="00192245" w:rsidRPr="007C31F0" w:rsidRDefault="00192245" w:rsidP="007C31F0">
            <w:pPr>
              <w:rPr>
                <w:color w:val="002060"/>
              </w:rPr>
            </w:pPr>
            <w:r w:rsidRPr="215240F2">
              <w:rPr>
                <w:color w:val="002060"/>
              </w:rPr>
              <w:t xml:space="preserve">Down </w:t>
            </w:r>
            <w:r w:rsidR="2F35A229" w:rsidRPr="215240F2">
              <w:rPr>
                <w:color w:val="002060"/>
              </w:rPr>
              <w:t>=</w:t>
            </w:r>
            <w:r w:rsidRPr="215240F2">
              <w:rPr>
                <w:color w:val="002060"/>
              </w:rPr>
              <w:t xml:space="preserve"> improvement</w:t>
            </w:r>
            <w:r w:rsidR="707CC7E0" w:rsidRPr="215240F2">
              <w:rPr>
                <w:color w:val="002060"/>
              </w:rPr>
              <w:t>.</w:t>
            </w:r>
          </w:p>
        </w:tc>
      </w:tr>
      <w:tr w:rsidR="00192245" w:rsidRPr="007C31F0" w14:paraId="289CA745" w14:textId="1B81E3DE" w:rsidTr="215240F2">
        <w:trPr>
          <w:trHeight w:val="900"/>
        </w:trPr>
        <w:tc>
          <w:tcPr>
            <w:tcW w:w="3060" w:type="dxa"/>
            <w:noWrap/>
            <w:hideMark/>
          </w:tcPr>
          <w:p w14:paraId="5B2764E8" w14:textId="77777777" w:rsidR="00192245" w:rsidRPr="007C31F0" w:rsidRDefault="00192245" w:rsidP="007C31F0">
            <w:pPr>
              <w:rPr>
                <w:color w:val="002060"/>
              </w:rPr>
            </w:pPr>
            <w:r w:rsidRPr="007C31F0">
              <w:rPr>
                <w:color w:val="002060"/>
              </w:rPr>
              <w:t>Rutting Greater Than 20mm %</w:t>
            </w:r>
          </w:p>
        </w:tc>
        <w:tc>
          <w:tcPr>
            <w:tcW w:w="2140" w:type="dxa"/>
            <w:hideMark/>
          </w:tcPr>
          <w:p w14:paraId="1156FDBD" w14:textId="77777777" w:rsidR="00192245" w:rsidRPr="007C31F0" w:rsidRDefault="00192245" w:rsidP="007C31F0">
            <w:pPr>
              <w:rPr>
                <w:color w:val="002060"/>
              </w:rPr>
            </w:pPr>
            <w:r w:rsidRPr="007C31F0">
              <w:rPr>
                <w:color w:val="002060"/>
              </w:rPr>
              <w:t>Sum(Rutting Greater Than 20mm) / Sum(Wheel Path)</w:t>
            </w:r>
          </w:p>
        </w:tc>
        <w:tc>
          <w:tcPr>
            <w:tcW w:w="3017" w:type="dxa"/>
            <w:hideMark/>
          </w:tcPr>
          <w:p w14:paraId="5150ECE3" w14:textId="77777777" w:rsidR="00192245" w:rsidRPr="007C31F0" w:rsidRDefault="00192245" w:rsidP="007C31F0">
            <w:pPr>
              <w:rPr>
                <w:color w:val="002060"/>
              </w:rPr>
            </w:pPr>
            <w:r w:rsidRPr="007C31F0">
              <w:rPr>
                <w:color w:val="002060"/>
              </w:rPr>
              <w:t>Rutting greater than 20mm in depth - an indication of percentage of pavement length exhibiting rutting more than the acceptable minimum, which has implications for safety.   The smaller percentage the better.</w:t>
            </w:r>
          </w:p>
        </w:tc>
        <w:tc>
          <w:tcPr>
            <w:tcW w:w="1843" w:type="dxa"/>
          </w:tcPr>
          <w:p w14:paraId="610F6E60" w14:textId="73859431" w:rsidR="00192245" w:rsidRPr="007C31F0" w:rsidRDefault="00192245" w:rsidP="007C31F0">
            <w:pPr>
              <w:rPr>
                <w:color w:val="002060"/>
              </w:rPr>
            </w:pPr>
            <w:r w:rsidRPr="215240F2">
              <w:rPr>
                <w:color w:val="002060"/>
              </w:rPr>
              <w:t xml:space="preserve">Down </w:t>
            </w:r>
            <w:r w:rsidR="70425FC3" w:rsidRPr="2EDD71E5">
              <w:rPr>
                <w:color w:val="002060"/>
              </w:rPr>
              <w:t>=</w:t>
            </w:r>
            <w:r w:rsidRPr="215240F2">
              <w:rPr>
                <w:color w:val="002060"/>
              </w:rPr>
              <w:t>improvement</w:t>
            </w:r>
            <w:r w:rsidR="169CE852" w:rsidRPr="215240F2">
              <w:rPr>
                <w:color w:val="002060"/>
              </w:rPr>
              <w:t>.</w:t>
            </w:r>
          </w:p>
        </w:tc>
      </w:tr>
      <w:tr w:rsidR="00192245" w:rsidRPr="007C31F0" w14:paraId="05B53538" w14:textId="280A3198" w:rsidTr="215240F2">
        <w:trPr>
          <w:trHeight w:val="1200"/>
        </w:trPr>
        <w:tc>
          <w:tcPr>
            <w:tcW w:w="3060" w:type="dxa"/>
            <w:noWrap/>
            <w:hideMark/>
          </w:tcPr>
          <w:p w14:paraId="1CC9BDA3" w14:textId="77777777" w:rsidR="00192245" w:rsidRPr="007C31F0" w:rsidRDefault="00192245" w:rsidP="007C31F0">
            <w:pPr>
              <w:rPr>
                <w:color w:val="002060"/>
              </w:rPr>
            </w:pPr>
            <w:r w:rsidRPr="007C31F0">
              <w:rPr>
                <w:color w:val="002060"/>
              </w:rPr>
              <w:t>Skid Resistance Below IL %</w:t>
            </w:r>
          </w:p>
        </w:tc>
        <w:tc>
          <w:tcPr>
            <w:tcW w:w="2140" w:type="dxa"/>
            <w:hideMark/>
          </w:tcPr>
          <w:p w14:paraId="027CD934" w14:textId="7BBCBFB0" w:rsidR="00192245" w:rsidRPr="007C31F0" w:rsidRDefault="00192245" w:rsidP="007C31F0">
            <w:pPr>
              <w:rPr>
                <w:color w:val="002060"/>
              </w:rPr>
            </w:pPr>
            <w:r w:rsidRPr="215240F2">
              <w:rPr>
                <w:color w:val="002060"/>
              </w:rPr>
              <w:t xml:space="preserve">Sum(Skid Resistance Good Row Count * </w:t>
            </w:r>
            <w:r w:rsidR="172FEFE5" w:rsidRPr="2EDD71E5">
              <w:rPr>
                <w:color w:val="002060"/>
              </w:rPr>
              <w:t>skid</w:t>
            </w:r>
            <w:r w:rsidR="044165A5" w:rsidRPr="215240F2">
              <w:rPr>
                <w:color w:val="002060"/>
              </w:rPr>
              <w:t xml:space="preserve"> coefficient</w:t>
            </w:r>
            <w:r w:rsidRPr="215240F2">
              <w:rPr>
                <w:color w:val="002060"/>
              </w:rPr>
              <w:t xml:space="preserve"> Bad IL Count) / Sum(Skid Resistance Good Row Count)</w:t>
            </w:r>
          </w:p>
        </w:tc>
        <w:tc>
          <w:tcPr>
            <w:tcW w:w="3017" w:type="dxa"/>
            <w:hideMark/>
          </w:tcPr>
          <w:p w14:paraId="0AA56235" w14:textId="495A45A9" w:rsidR="00192245" w:rsidRPr="007C31F0" w:rsidRDefault="00192245" w:rsidP="007C31F0">
            <w:pPr>
              <w:rPr>
                <w:color w:val="002060"/>
              </w:rPr>
            </w:pPr>
            <w:r w:rsidRPr="007C31F0">
              <w:rPr>
                <w:color w:val="002060"/>
              </w:rPr>
              <w:t>Skid resistance IL- an indication of the percentage of network length where skid resistance is below the defined investigation level (where average of left and right ESC minus scrim site investigatory level is greater than 0.  The lower the percentage the better. This measure does not account for traffic volumes but is used to derive the GSE-IL measure.</w:t>
            </w:r>
          </w:p>
        </w:tc>
        <w:tc>
          <w:tcPr>
            <w:tcW w:w="1843" w:type="dxa"/>
          </w:tcPr>
          <w:p w14:paraId="2A1D4A18" w14:textId="0273E971" w:rsidR="00192245" w:rsidRPr="007C31F0" w:rsidRDefault="00192245" w:rsidP="007C31F0">
            <w:pPr>
              <w:rPr>
                <w:color w:val="002060"/>
              </w:rPr>
            </w:pPr>
            <w:r w:rsidRPr="215240F2">
              <w:rPr>
                <w:color w:val="002060"/>
              </w:rPr>
              <w:t xml:space="preserve">Down </w:t>
            </w:r>
            <w:r w:rsidR="048300B7" w:rsidRPr="215240F2">
              <w:rPr>
                <w:color w:val="002060"/>
              </w:rPr>
              <w:t>=</w:t>
            </w:r>
            <w:r w:rsidRPr="215240F2">
              <w:rPr>
                <w:color w:val="002060"/>
              </w:rPr>
              <w:t xml:space="preserve"> improvement</w:t>
            </w:r>
            <w:r w:rsidR="662A140B" w:rsidRPr="215240F2">
              <w:rPr>
                <w:color w:val="002060"/>
              </w:rPr>
              <w:t>.</w:t>
            </w:r>
          </w:p>
        </w:tc>
      </w:tr>
      <w:tr w:rsidR="00192245" w:rsidRPr="007C31F0" w14:paraId="4CB9EAB6" w14:textId="40B04533" w:rsidTr="215240F2">
        <w:trPr>
          <w:trHeight w:val="1200"/>
        </w:trPr>
        <w:tc>
          <w:tcPr>
            <w:tcW w:w="3060" w:type="dxa"/>
            <w:noWrap/>
            <w:hideMark/>
          </w:tcPr>
          <w:p w14:paraId="13C76507" w14:textId="77777777" w:rsidR="00192245" w:rsidRPr="007C31F0" w:rsidRDefault="00192245" w:rsidP="007C31F0">
            <w:pPr>
              <w:rPr>
                <w:color w:val="002060"/>
              </w:rPr>
            </w:pPr>
            <w:r w:rsidRPr="007C31F0">
              <w:rPr>
                <w:color w:val="002060"/>
              </w:rPr>
              <w:t>Skid Resistance Below TL %</w:t>
            </w:r>
          </w:p>
        </w:tc>
        <w:tc>
          <w:tcPr>
            <w:tcW w:w="2140" w:type="dxa"/>
            <w:hideMark/>
          </w:tcPr>
          <w:p w14:paraId="637B70E5" w14:textId="66A61A31" w:rsidR="00192245" w:rsidRPr="007C31F0" w:rsidRDefault="00192245" w:rsidP="007C31F0">
            <w:pPr>
              <w:rPr>
                <w:color w:val="002060"/>
              </w:rPr>
            </w:pPr>
            <w:r w:rsidRPr="215240F2">
              <w:rPr>
                <w:color w:val="002060"/>
              </w:rPr>
              <w:t xml:space="preserve">Sum(Skid Resistance Good Row Count * </w:t>
            </w:r>
            <w:r w:rsidR="435809E0" w:rsidRPr="2EDD71E5">
              <w:rPr>
                <w:color w:val="002060"/>
              </w:rPr>
              <w:t>skid</w:t>
            </w:r>
            <w:r w:rsidR="61DE5175" w:rsidRPr="215240F2">
              <w:rPr>
                <w:color w:val="002060"/>
              </w:rPr>
              <w:t xml:space="preserve"> coefficient</w:t>
            </w:r>
            <w:r w:rsidRPr="215240F2">
              <w:rPr>
                <w:color w:val="002060"/>
              </w:rPr>
              <w:t xml:space="preserve"> Bad TL Count) / Sum(Skid Resistance Good Row Count)</w:t>
            </w:r>
          </w:p>
        </w:tc>
        <w:tc>
          <w:tcPr>
            <w:tcW w:w="3017" w:type="dxa"/>
            <w:hideMark/>
          </w:tcPr>
          <w:p w14:paraId="11A6F2B6" w14:textId="77320219" w:rsidR="00192245" w:rsidRPr="007C31F0" w:rsidRDefault="00192245" w:rsidP="007C31F0">
            <w:pPr>
              <w:rPr>
                <w:color w:val="002060"/>
              </w:rPr>
            </w:pPr>
            <w:r w:rsidRPr="39E040D9">
              <w:rPr>
                <w:color w:val="002060"/>
              </w:rPr>
              <w:t xml:space="preserve">Skid resistance TL- an indication of the percentage of network length where skid resistance is below the defined level of service threshold (where average of left and right ESC minus scrim site investigatory level is greater than -0.1).  The lower </w:t>
            </w:r>
            <w:r w:rsidR="48124C48" w:rsidRPr="39E040D9">
              <w:rPr>
                <w:color w:val="002060"/>
              </w:rPr>
              <w:t xml:space="preserve">the </w:t>
            </w:r>
            <w:r w:rsidRPr="39E040D9">
              <w:rPr>
                <w:color w:val="002060"/>
              </w:rPr>
              <w:t>percentage the better. This measure does not account for traffic volumes/exposure.</w:t>
            </w:r>
          </w:p>
        </w:tc>
        <w:tc>
          <w:tcPr>
            <w:tcW w:w="1843" w:type="dxa"/>
          </w:tcPr>
          <w:p w14:paraId="455B7E22" w14:textId="1AABFC96" w:rsidR="00192245" w:rsidRPr="007C31F0" w:rsidRDefault="00192245" w:rsidP="007C31F0">
            <w:pPr>
              <w:rPr>
                <w:color w:val="002060"/>
              </w:rPr>
            </w:pPr>
            <w:r w:rsidRPr="215240F2">
              <w:rPr>
                <w:color w:val="002060"/>
              </w:rPr>
              <w:t xml:space="preserve">Down </w:t>
            </w:r>
            <w:r w:rsidR="74D7E9D7" w:rsidRPr="215240F2">
              <w:rPr>
                <w:color w:val="002060"/>
              </w:rPr>
              <w:t>=</w:t>
            </w:r>
            <w:r w:rsidRPr="215240F2">
              <w:rPr>
                <w:color w:val="002060"/>
              </w:rPr>
              <w:t xml:space="preserve"> improvement</w:t>
            </w:r>
            <w:r w:rsidR="6CE7959D" w:rsidRPr="215240F2">
              <w:rPr>
                <w:color w:val="002060"/>
              </w:rPr>
              <w:t>.</w:t>
            </w:r>
          </w:p>
        </w:tc>
      </w:tr>
      <w:tr w:rsidR="00192245" w:rsidRPr="007C31F0" w14:paraId="035931DA" w14:textId="6202B890" w:rsidTr="215240F2">
        <w:trPr>
          <w:trHeight w:val="900"/>
        </w:trPr>
        <w:tc>
          <w:tcPr>
            <w:tcW w:w="3060" w:type="dxa"/>
            <w:noWrap/>
            <w:hideMark/>
          </w:tcPr>
          <w:p w14:paraId="136E239C" w14:textId="77777777" w:rsidR="00192245" w:rsidRPr="007C31F0" w:rsidRDefault="00192245" w:rsidP="007C31F0">
            <w:pPr>
              <w:rPr>
                <w:color w:val="002060"/>
              </w:rPr>
            </w:pPr>
            <w:r w:rsidRPr="007C31F0">
              <w:rPr>
                <w:color w:val="002060"/>
              </w:rPr>
              <w:t>Wheel Path Texture Below .5 %</w:t>
            </w:r>
          </w:p>
        </w:tc>
        <w:tc>
          <w:tcPr>
            <w:tcW w:w="2140" w:type="dxa"/>
            <w:hideMark/>
          </w:tcPr>
          <w:p w14:paraId="0358C2D6" w14:textId="77777777" w:rsidR="00192245" w:rsidRPr="007C31F0" w:rsidRDefault="00192245" w:rsidP="007C31F0">
            <w:pPr>
              <w:rPr>
                <w:color w:val="002060"/>
              </w:rPr>
            </w:pPr>
            <w:r w:rsidRPr="007C31F0">
              <w:rPr>
                <w:color w:val="002060"/>
              </w:rPr>
              <w:t>Sum(Left and Right WP Texture Below .5)  /  Sum(Wheel Path Count))</w:t>
            </w:r>
          </w:p>
        </w:tc>
        <w:tc>
          <w:tcPr>
            <w:tcW w:w="3017" w:type="dxa"/>
            <w:hideMark/>
          </w:tcPr>
          <w:p w14:paraId="7F3730D4" w14:textId="77777777" w:rsidR="00192245" w:rsidRPr="007C31F0" w:rsidRDefault="00192245" w:rsidP="007C31F0">
            <w:pPr>
              <w:rPr>
                <w:color w:val="002060"/>
              </w:rPr>
            </w:pPr>
            <w:r w:rsidRPr="007C31F0">
              <w:rPr>
                <w:color w:val="002060"/>
              </w:rPr>
              <w:t>Texture - A condition parameter that measures the texture depth (Mean Profile Depth or MPD) of the road surface.  The report shows the percentage of left and right wheel path mean profile depth less than 0.5mm.  A percentage near zero is ideal as less flushing or polishing occurs.</w:t>
            </w:r>
          </w:p>
        </w:tc>
        <w:tc>
          <w:tcPr>
            <w:tcW w:w="1843" w:type="dxa"/>
          </w:tcPr>
          <w:p w14:paraId="1D6F60D4" w14:textId="1851021C" w:rsidR="00192245" w:rsidRPr="007C31F0" w:rsidRDefault="00192245" w:rsidP="007C31F0">
            <w:pPr>
              <w:rPr>
                <w:color w:val="002060"/>
              </w:rPr>
            </w:pPr>
            <w:r w:rsidRPr="215240F2">
              <w:rPr>
                <w:color w:val="002060"/>
              </w:rPr>
              <w:t xml:space="preserve">Down </w:t>
            </w:r>
            <w:r w:rsidR="799D954A" w:rsidRPr="215240F2">
              <w:rPr>
                <w:color w:val="002060"/>
              </w:rPr>
              <w:t>=</w:t>
            </w:r>
            <w:r w:rsidRPr="215240F2">
              <w:rPr>
                <w:color w:val="002060"/>
              </w:rPr>
              <w:t xml:space="preserve"> improvement</w:t>
            </w:r>
            <w:r w:rsidR="38E37FCA" w:rsidRPr="215240F2">
              <w:rPr>
                <w:color w:val="002060"/>
              </w:rPr>
              <w:t>.</w:t>
            </w:r>
          </w:p>
        </w:tc>
      </w:tr>
    </w:tbl>
    <w:p w14:paraId="16626114" w14:textId="29C5A33E" w:rsidR="000B72B0" w:rsidRDefault="000B72B0" w:rsidP="00C76F91"/>
    <w:p w14:paraId="110A5833" w14:textId="2009ABF8" w:rsidR="0087011B" w:rsidRPr="00F5074F" w:rsidRDefault="00AE3FB5" w:rsidP="00AE3FB5">
      <w:pPr>
        <w:pStyle w:val="Heading1"/>
      </w:pPr>
      <w:r>
        <w:t>Description of Sheets Within the Report</w:t>
      </w:r>
    </w:p>
    <w:tbl>
      <w:tblPr>
        <w:tblStyle w:val="TableGrid1"/>
        <w:tblW w:w="10060" w:type="dxa"/>
        <w:tblLook w:val="04A0" w:firstRow="1" w:lastRow="0" w:firstColumn="1" w:lastColumn="0" w:noHBand="0" w:noVBand="1"/>
      </w:tblPr>
      <w:tblGrid>
        <w:gridCol w:w="3060"/>
        <w:gridCol w:w="7000"/>
      </w:tblGrid>
      <w:tr w:rsidR="00EF243E" w:rsidRPr="007C31F0" w14:paraId="20067682" w14:textId="77777777" w:rsidTr="00F5325B">
        <w:trPr>
          <w:trHeight w:val="315"/>
        </w:trPr>
        <w:tc>
          <w:tcPr>
            <w:tcW w:w="3060" w:type="dxa"/>
            <w:shd w:val="clear" w:color="auto" w:fill="CDE4F4"/>
            <w:noWrap/>
            <w:hideMark/>
          </w:tcPr>
          <w:p w14:paraId="703B1191" w14:textId="77777777" w:rsidR="00EF243E" w:rsidRPr="007C31F0" w:rsidRDefault="00EF243E" w:rsidP="00F5325B">
            <w:pPr>
              <w:rPr>
                <w:b/>
                <w:color w:val="002060"/>
              </w:rPr>
            </w:pPr>
            <w:r w:rsidRPr="007C31F0">
              <w:rPr>
                <w:b/>
                <w:color w:val="002060"/>
              </w:rPr>
              <w:t>Name</w:t>
            </w:r>
          </w:p>
        </w:tc>
        <w:tc>
          <w:tcPr>
            <w:tcW w:w="7000" w:type="dxa"/>
            <w:shd w:val="clear" w:color="auto" w:fill="CDE4F4"/>
            <w:hideMark/>
          </w:tcPr>
          <w:p w14:paraId="6695E887" w14:textId="39A5CA8D" w:rsidR="00EF243E" w:rsidRPr="007C31F0" w:rsidRDefault="00EF243E" w:rsidP="00F5325B">
            <w:pPr>
              <w:rPr>
                <w:b/>
                <w:color w:val="002060"/>
              </w:rPr>
            </w:pPr>
            <w:r>
              <w:rPr>
                <w:b/>
                <w:color w:val="002060"/>
              </w:rPr>
              <w:t>Description</w:t>
            </w:r>
          </w:p>
        </w:tc>
      </w:tr>
      <w:tr w:rsidR="00EF243E" w:rsidRPr="007C31F0" w14:paraId="6BAF4C4E" w14:textId="77777777" w:rsidTr="00EF243E">
        <w:trPr>
          <w:trHeight w:val="714"/>
        </w:trPr>
        <w:tc>
          <w:tcPr>
            <w:tcW w:w="3060" w:type="dxa"/>
            <w:noWrap/>
          </w:tcPr>
          <w:p w14:paraId="32FD2F8C" w14:textId="211CB1A1" w:rsidR="00EF243E" w:rsidRPr="007C31F0" w:rsidRDefault="002474C3" w:rsidP="00F5325B">
            <w:pPr>
              <w:rPr>
                <w:color w:val="002060"/>
              </w:rPr>
            </w:pPr>
            <w:r>
              <w:rPr>
                <w:color w:val="002060"/>
              </w:rPr>
              <w:t>Measures on Map</w:t>
            </w:r>
          </w:p>
        </w:tc>
        <w:tc>
          <w:tcPr>
            <w:tcW w:w="7000" w:type="dxa"/>
          </w:tcPr>
          <w:p w14:paraId="6D04C966" w14:textId="32729924" w:rsidR="00EF243E" w:rsidRPr="007C31F0" w:rsidRDefault="00167286" w:rsidP="00F5325B">
            <w:pPr>
              <w:rPr>
                <w:color w:val="002060"/>
              </w:rPr>
            </w:pPr>
            <w:r>
              <w:rPr>
                <w:color w:val="002060"/>
              </w:rPr>
              <w:t xml:space="preserve">Geographical heatmap of </w:t>
            </w:r>
            <w:r w:rsidR="008B3C98">
              <w:rPr>
                <w:color w:val="002060"/>
              </w:rPr>
              <w:t>the selected measure.</w:t>
            </w:r>
          </w:p>
        </w:tc>
      </w:tr>
      <w:tr w:rsidR="00EF243E" w:rsidRPr="007C31F0" w14:paraId="48580983" w14:textId="77777777" w:rsidTr="00EF243E">
        <w:trPr>
          <w:trHeight w:val="697"/>
        </w:trPr>
        <w:tc>
          <w:tcPr>
            <w:tcW w:w="3060" w:type="dxa"/>
            <w:noWrap/>
          </w:tcPr>
          <w:p w14:paraId="79A26C40" w14:textId="3FCC9C2A" w:rsidR="00EF243E" w:rsidRDefault="0047342B" w:rsidP="00EF243E">
            <w:pPr>
              <w:rPr>
                <w:color w:val="002060"/>
              </w:rPr>
            </w:pPr>
            <w:r>
              <w:rPr>
                <w:color w:val="002060"/>
              </w:rPr>
              <w:t>Summary Report</w:t>
            </w:r>
          </w:p>
        </w:tc>
        <w:tc>
          <w:tcPr>
            <w:tcW w:w="7000" w:type="dxa"/>
          </w:tcPr>
          <w:p w14:paraId="671FC1BB" w14:textId="65BE03B8" w:rsidR="00EF243E" w:rsidRPr="007C31F0" w:rsidRDefault="008B3C98" w:rsidP="00EF243E">
            <w:pPr>
              <w:rPr>
                <w:color w:val="002060"/>
              </w:rPr>
            </w:pPr>
            <w:r>
              <w:rPr>
                <w:color w:val="002060"/>
              </w:rPr>
              <w:t>Comparison table across all measures and NOCs.</w:t>
            </w:r>
          </w:p>
        </w:tc>
      </w:tr>
      <w:tr w:rsidR="00EF243E" w:rsidRPr="007C31F0" w14:paraId="2B9840B1" w14:textId="77777777" w:rsidTr="00EF243E">
        <w:trPr>
          <w:trHeight w:val="281"/>
        </w:trPr>
        <w:tc>
          <w:tcPr>
            <w:tcW w:w="3060" w:type="dxa"/>
            <w:noWrap/>
          </w:tcPr>
          <w:p w14:paraId="5961C2E9" w14:textId="2AB365FF" w:rsidR="00EF243E" w:rsidRDefault="0047342B" w:rsidP="00EF243E">
            <w:pPr>
              <w:rPr>
                <w:color w:val="002060"/>
              </w:rPr>
            </w:pPr>
            <w:r>
              <w:rPr>
                <w:color w:val="002060"/>
              </w:rPr>
              <w:t>Compare to Previous Year</w:t>
            </w:r>
          </w:p>
        </w:tc>
        <w:tc>
          <w:tcPr>
            <w:tcW w:w="7000" w:type="dxa"/>
          </w:tcPr>
          <w:p w14:paraId="167F4574" w14:textId="312D0082" w:rsidR="00EF243E" w:rsidRDefault="005E09BD" w:rsidP="00B8686A">
            <w:pPr>
              <w:rPr>
                <w:color w:val="002060"/>
              </w:rPr>
            </w:pPr>
            <w:r>
              <w:rPr>
                <w:color w:val="002060"/>
              </w:rPr>
              <w:t>Year-on-year comparison of the selected measure.</w:t>
            </w:r>
          </w:p>
        </w:tc>
      </w:tr>
      <w:tr w:rsidR="00EF243E" w:rsidRPr="007C31F0" w14:paraId="6F8A7693" w14:textId="77777777" w:rsidTr="00EF243E">
        <w:trPr>
          <w:trHeight w:val="281"/>
        </w:trPr>
        <w:tc>
          <w:tcPr>
            <w:tcW w:w="3060" w:type="dxa"/>
            <w:noWrap/>
          </w:tcPr>
          <w:p w14:paraId="07C40294" w14:textId="67086D8E" w:rsidR="00EF243E" w:rsidRPr="00EF243E" w:rsidRDefault="0047342B" w:rsidP="00EF243E">
            <w:pPr>
              <w:rPr>
                <w:color w:val="002060"/>
              </w:rPr>
            </w:pPr>
            <w:r>
              <w:rPr>
                <w:color w:val="002060"/>
              </w:rPr>
              <w:t>National Average</w:t>
            </w:r>
          </w:p>
        </w:tc>
        <w:tc>
          <w:tcPr>
            <w:tcW w:w="7000" w:type="dxa"/>
          </w:tcPr>
          <w:p w14:paraId="05A394A7" w14:textId="33962973" w:rsidR="00EF243E" w:rsidRDefault="004B60D3" w:rsidP="00EF243E">
            <w:pPr>
              <w:rPr>
                <w:color w:val="002060"/>
              </w:rPr>
            </w:pPr>
            <w:r>
              <w:rPr>
                <w:color w:val="002060"/>
              </w:rPr>
              <w:t>Time series view of the selected measure, allowing comparisons across different NOCs, suppliers or ONRC classifications.</w:t>
            </w:r>
          </w:p>
        </w:tc>
      </w:tr>
      <w:tr w:rsidR="00EF243E" w:rsidRPr="007C31F0" w14:paraId="22DE6845" w14:textId="77777777" w:rsidTr="00EF243E">
        <w:trPr>
          <w:trHeight w:val="281"/>
        </w:trPr>
        <w:tc>
          <w:tcPr>
            <w:tcW w:w="3060" w:type="dxa"/>
            <w:noWrap/>
          </w:tcPr>
          <w:p w14:paraId="138171A1" w14:textId="6A63917D" w:rsidR="00EF243E" w:rsidRPr="00EF243E" w:rsidRDefault="0047342B" w:rsidP="00EF243E">
            <w:pPr>
              <w:rPr>
                <w:color w:val="002060"/>
              </w:rPr>
            </w:pPr>
            <w:r>
              <w:rPr>
                <w:color w:val="002060"/>
              </w:rPr>
              <w:t>A vs B</w:t>
            </w:r>
          </w:p>
        </w:tc>
        <w:tc>
          <w:tcPr>
            <w:tcW w:w="7000" w:type="dxa"/>
          </w:tcPr>
          <w:p w14:paraId="67F0FB1D" w14:textId="64681E24" w:rsidR="00EF243E" w:rsidRDefault="00720C22" w:rsidP="00EF243E">
            <w:pPr>
              <w:rPr>
                <w:color w:val="002060"/>
              </w:rPr>
            </w:pPr>
            <w:r>
              <w:rPr>
                <w:color w:val="002060"/>
              </w:rPr>
              <w:t>Time series graph and ONRC comparison table for two selected</w:t>
            </w:r>
            <w:r w:rsidR="00A12277">
              <w:rPr>
                <w:color w:val="002060"/>
              </w:rPr>
              <w:t xml:space="preserve"> NOCs and one selected measure.</w:t>
            </w:r>
          </w:p>
        </w:tc>
      </w:tr>
    </w:tbl>
    <w:p w14:paraId="39BE12ED" w14:textId="4BE8D55B" w:rsidR="00F05D1B" w:rsidRPr="00F05D1B" w:rsidRDefault="00F05D1B" w:rsidP="004F29ED">
      <w:pPr>
        <w:rPr>
          <w:color w:val="0070C0"/>
        </w:rPr>
      </w:pPr>
    </w:p>
    <w:p w14:paraId="7FCF88B8" w14:textId="745221F5" w:rsidR="00F5074F" w:rsidRPr="00F5074F" w:rsidRDefault="00516A9C" w:rsidP="00516A9C">
      <w:pPr>
        <w:pStyle w:val="Heading1"/>
      </w:pPr>
      <w:r>
        <w:t>Filters Available</w:t>
      </w:r>
    </w:p>
    <w:tbl>
      <w:tblPr>
        <w:tblStyle w:val="TableGrid1"/>
        <w:tblW w:w="10060" w:type="dxa"/>
        <w:tblLook w:val="04A0" w:firstRow="1" w:lastRow="0" w:firstColumn="1" w:lastColumn="0" w:noHBand="0" w:noVBand="1"/>
      </w:tblPr>
      <w:tblGrid>
        <w:gridCol w:w="3060"/>
        <w:gridCol w:w="7000"/>
      </w:tblGrid>
      <w:tr w:rsidR="00F5074F" w:rsidRPr="007C31F0" w14:paraId="133885BC" w14:textId="77777777" w:rsidTr="00FCB3EE">
        <w:trPr>
          <w:trHeight w:val="315"/>
        </w:trPr>
        <w:tc>
          <w:tcPr>
            <w:tcW w:w="3060" w:type="dxa"/>
            <w:shd w:val="clear" w:color="auto" w:fill="CDE4F4" w:themeFill="accent1" w:themeFillTint="33"/>
            <w:noWrap/>
            <w:hideMark/>
          </w:tcPr>
          <w:p w14:paraId="57BD0024" w14:textId="77777777" w:rsidR="00F5074F" w:rsidRPr="007C31F0" w:rsidRDefault="00F5074F" w:rsidP="00C5170E">
            <w:pPr>
              <w:rPr>
                <w:b/>
                <w:color w:val="002060"/>
              </w:rPr>
            </w:pPr>
            <w:r w:rsidRPr="007C31F0">
              <w:rPr>
                <w:b/>
                <w:color w:val="002060"/>
              </w:rPr>
              <w:t>Name</w:t>
            </w:r>
          </w:p>
        </w:tc>
        <w:tc>
          <w:tcPr>
            <w:tcW w:w="7000" w:type="dxa"/>
            <w:shd w:val="clear" w:color="auto" w:fill="CDE4F4" w:themeFill="accent1" w:themeFillTint="33"/>
            <w:hideMark/>
          </w:tcPr>
          <w:p w14:paraId="08BB4451" w14:textId="4E4DA8E2" w:rsidR="00F5074F" w:rsidRPr="007C31F0" w:rsidRDefault="0013110B" w:rsidP="00C5170E">
            <w:pPr>
              <w:rPr>
                <w:b/>
                <w:color w:val="002060"/>
              </w:rPr>
            </w:pPr>
            <w:r>
              <w:rPr>
                <w:b/>
                <w:color w:val="002060"/>
              </w:rPr>
              <w:t>Notes</w:t>
            </w:r>
          </w:p>
        </w:tc>
      </w:tr>
      <w:tr w:rsidR="00F5074F" w:rsidRPr="007C31F0" w14:paraId="4F9FCC1F" w14:textId="77777777" w:rsidTr="00FCB3EE">
        <w:trPr>
          <w:trHeight w:val="714"/>
        </w:trPr>
        <w:tc>
          <w:tcPr>
            <w:tcW w:w="3060" w:type="dxa"/>
            <w:noWrap/>
          </w:tcPr>
          <w:p w14:paraId="7A6F3A83" w14:textId="30E40029" w:rsidR="00F5074F" w:rsidRPr="007C31F0" w:rsidRDefault="00F5074F" w:rsidP="00C5170E">
            <w:pPr>
              <w:rPr>
                <w:color w:val="002060"/>
              </w:rPr>
            </w:pPr>
            <w:r>
              <w:rPr>
                <w:color w:val="002060"/>
              </w:rPr>
              <w:t>Survey Year</w:t>
            </w:r>
          </w:p>
        </w:tc>
        <w:tc>
          <w:tcPr>
            <w:tcW w:w="7000" w:type="dxa"/>
          </w:tcPr>
          <w:p w14:paraId="18249CCB" w14:textId="47F279BF" w:rsidR="00F5074F" w:rsidRPr="007C31F0" w:rsidRDefault="44C3BA61" w:rsidP="00C5170E">
            <w:pPr>
              <w:rPr>
                <w:color w:val="002060"/>
              </w:rPr>
            </w:pPr>
            <w:r w:rsidRPr="215240F2">
              <w:rPr>
                <w:color w:val="002060"/>
              </w:rPr>
              <w:t>A</w:t>
            </w:r>
            <w:r w:rsidR="7692145A" w:rsidRPr="215240F2">
              <w:rPr>
                <w:color w:val="002060"/>
              </w:rPr>
              <w:t>ll visualisations</w:t>
            </w:r>
            <w:r w:rsidR="6D8CD188" w:rsidRPr="215240F2">
              <w:rPr>
                <w:color w:val="002060"/>
              </w:rPr>
              <w:t xml:space="preserve"> are designed for a single year selection</w:t>
            </w:r>
            <w:r w:rsidR="776F5DA8" w:rsidRPr="215240F2">
              <w:rPr>
                <w:color w:val="002060"/>
              </w:rPr>
              <w:t>, except time series graphs</w:t>
            </w:r>
            <w:r w:rsidR="6D8CD188" w:rsidRPr="215240F2">
              <w:rPr>
                <w:color w:val="002060"/>
              </w:rPr>
              <w:t>. Without a selection</w:t>
            </w:r>
            <w:r w:rsidR="76BD8E95" w:rsidRPr="215240F2">
              <w:rPr>
                <w:color w:val="002060"/>
              </w:rPr>
              <w:t>,</w:t>
            </w:r>
            <w:r w:rsidR="6D8CD188" w:rsidRPr="215240F2">
              <w:rPr>
                <w:color w:val="002060"/>
              </w:rPr>
              <w:t xml:space="preserve"> the data will average over the available years.</w:t>
            </w:r>
            <w:r w:rsidR="143D5CBC" w:rsidRPr="215240F2">
              <w:rPr>
                <w:color w:val="002060"/>
              </w:rPr>
              <w:t xml:space="preserve">  </w:t>
            </w:r>
            <w:r w:rsidR="12BE9A04" w:rsidRPr="215240F2">
              <w:rPr>
                <w:color w:val="002060"/>
              </w:rPr>
              <w:t xml:space="preserve"> Time series visualisations will provide seven years of history.</w:t>
            </w:r>
          </w:p>
        </w:tc>
      </w:tr>
      <w:tr w:rsidR="00F5074F" w:rsidRPr="007C31F0" w14:paraId="0E9F7E26" w14:textId="77777777" w:rsidTr="00FCB3EE">
        <w:trPr>
          <w:trHeight w:val="697"/>
        </w:trPr>
        <w:tc>
          <w:tcPr>
            <w:tcW w:w="3060" w:type="dxa"/>
            <w:noWrap/>
          </w:tcPr>
          <w:p w14:paraId="406699D4" w14:textId="3DBBC76E" w:rsidR="00F5074F" w:rsidRDefault="00F5074F" w:rsidP="00C5170E">
            <w:pPr>
              <w:rPr>
                <w:color w:val="002060"/>
              </w:rPr>
            </w:pPr>
            <w:r>
              <w:rPr>
                <w:color w:val="002060"/>
              </w:rPr>
              <w:t>NOC (Carriageway Area)</w:t>
            </w:r>
          </w:p>
        </w:tc>
        <w:tc>
          <w:tcPr>
            <w:tcW w:w="7000" w:type="dxa"/>
          </w:tcPr>
          <w:p w14:paraId="3B282851" w14:textId="07430E62" w:rsidR="00F5074F" w:rsidRPr="007C31F0" w:rsidRDefault="320C8ED6" w:rsidP="00C5170E">
            <w:pPr>
              <w:rPr>
                <w:color w:val="002060"/>
              </w:rPr>
            </w:pPr>
            <w:r w:rsidRPr="00FCB3EE">
              <w:rPr>
                <w:color w:val="002060"/>
              </w:rPr>
              <w:t xml:space="preserve"> The </w:t>
            </w:r>
            <w:r w:rsidR="5906E894" w:rsidRPr="00FCB3EE">
              <w:rPr>
                <w:color w:val="002060"/>
              </w:rPr>
              <w:t xml:space="preserve">(Road </w:t>
            </w:r>
            <w:r w:rsidR="62BDA49E" w:rsidRPr="00FCB3EE">
              <w:rPr>
                <w:color w:val="002060"/>
              </w:rPr>
              <w:t>Asse</w:t>
            </w:r>
            <w:r w:rsidR="78944A68" w:rsidRPr="00FCB3EE">
              <w:rPr>
                <w:color w:val="002060"/>
              </w:rPr>
              <w:t>ssment</w:t>
            </w:r>
            <w:r w:rsidR="5906E894" w:rsidRPr="00FCB3EE">
              <w:rPr>
                <w:color w:val="002060"/>
              </w:rPr>
              <w:t xml:space="preserve"> and Maintenance Management</w:t>
            </w:r>
            <w:r w:rsidR="62BDA49E" w:rsidRPr="00FCB3EE">
              <w:rPr>
                <w:color w:val="002060"/>
              </w:rPr>
              <w:t xml:space="preserve"> system)</w:t>
            </w:r>
            <w:r w:rsidR="54A2B1FE" w:rsidRPr="00FCB3EE">
              <w:rPr>
                <w:color w:val="002060"/>
              </w:rPr>
              <w:t xml:space="preserve"> </w:t>
            </w:r>
            <w:r w:rsidR="3DB3497A" w:rsidRPr="00FCB3EE">
              <w:rPr>
                <w:color w:val="002060"/>
              </w:rPr>
              <w:t xml:space="preserve">‘carriageway area’ field in RAMM represents </w:t>
            </w:r>
            <w:r w:rsidR="7B3C9777" w:rsidRPr="00FCB3EE">
              <w:rPr>
                <w:color w:val="002060"/>
              </w:rPr>
              <w:t>geographically</w:t>
            </w:r>
            <w:r w:rsidR="70FF0BE3" w:rsidRPr="00FCB3EE">
              <w:rPr>
                <w:color w:val="002060"/>
              </w:rPr>
              <w:t>-</w:t>
            </w:r>
            <w:r w:rsidR="7B3C9777" w:rsidRPr="00FCB3EE">
              <w:rPr>
                <w:color w:val="002060"/>
              </w:rPr>
              <w:t xml:space="preserve">defined </w:t>
            </w:r>
            <w:r w:rsidR="08DA692F" w:rsidRPr="00FCB3EE">
              <w:rPr>
                <w:color w:val="002060"/>
              </w:rPr>
              <w:t xml:space="preserve">maintenance contract areas. </w:t>
            </w:r>
            <w:r w:rsidR="4959CDFB" w:rsidRPr="00FCB3EE">
              <w:rPr>
                <w:color w:val="002060"/>
              </w:rPr>
              <w:t xml:space="preserve">These typically fall under </w:t>
            </w:r>
            <w:r w:rsidR="4E46AA52" w:rsidRPr="00FCB3EE">
              <w:rPr>
                <w:color w:val="002060"/>
              </w:rPr>
              <w:t xml:space="preserve">the network outcomes contracts, with the exception of </w:t>
            </w:r>
            <w:r w:rsidR="03913BCD" w:rsidRPr="00FCB3EE">
              <w:rPr>
                <w:color w:val="002060"/>
              </w:rPr>
              <w:t>A</w:t>
            </w:r>
            <w:r w:rsidR="4E46AA52" w:rsidRPr="00FCB3EE">
              <w:rPr>
                <w:color w:val="002060"/>
              </w:rPr>
              <w:t xml:space="preserve">uckland System Management and Milford </w:t>
            </w:r>
            <w:r w:rsidR="03913BCD" w:rsidRPr="00FCB3EE">
              <w:rPr>
                <w:color w:val="002060"/>
              </w:rPr>
              <w:t>which are particular alliance</w:t>
            </w:r>
            <w:r w:rsidR="083C98F2" w:rsidRPr="00FCB3EE">
              <w:rPr>
                <w:color w:val="002060"/>
              </w:rPr>
              <w:t>*</w:t>
            </w:r>
            <w:r w:rsidR="03913BCD" w:rsidRPr="00FCB3EE">
              <w:rPr>
                <w:color w:val="002060"/>
              </w:rPr>
              <w:t xml:space="preserve"> contracts.</w:t>
            </w:r>
          </w:p>
        </w:tc>
      </w:tr>
      <w:tr w:rsidR="00F5074F" w:rsidRPr="007C31F0" w14:paraId="531F738F" w14:textId="77777777" w:rsidTr="00FCB3EE">
        <w:trPr>
          <w:trHeight w:val="272"/>
        </w:trPr>
        <w:tc>
          <w:tcPr>
            <w:tcW w:w="3060" w:type="dxa"/>
            <w:noWrap/>
          </w:tcPr>
          <w:p w14:paraId="1FB9085A" w14:textId="083F71EB" w:rsidR="00F5074F" w:rsidRDefault="00F5074F" w:rsidP="00C5170E">
            <w:pPr>
              <w:rPr>
                <w:color w:val="002060"/>
              </w:rPr>
            </w:pPr>
            <w:r>
              <w:rPr>
                <w:color w:val="002060"/>
              </w:rPr>
              <w:t>NOC Supplier</w:t>
            </w:r>
          </w:p>
        </w:tc>
        <w:tc>
          <w:tcPr>
            <w:tcW w:w="7000" w:type="dxa"/>
          </w:tcPr>
          <w:p w14:paraId="18822057" w14:textId="29AAE635" w:rsidR="00F5074F" w:rsidRPr="007C31F0" w:rsidRDefault="00C5170E" w:rsidP="00C5170E">
            <w:pPr>
              <w:rPr>
                <w:color w:val="002060"/>
              </w:rPr>
            </w:pPr>
            <w:r>
              <w:rPr>
                <w:color w:val="002060"/>
              </w:rPr>
              <w:t>These are the roading companies who manage the carriageway areas.</w:t>
            </w:r>
          </w:p>
        </w:tc>
      </w:tr>
      <w:tr w:rsidR="00C5170E" w:rsidRPr="007C31F0" w14:paraId="3E656208" w14:textId="77777777" w:rsidTr="00FCB3EE">
        <w:trPr>
          <w:trHeight w:val="274"/>
        </w:trPr>
        <w:tc>
          <w:tcPr>
            <w:tcW w:w="3060" w:type="dxa"/>
            <w:noWrap/>
          </w:tcPr>
          <w:p w14:paraId="34940C80" w14:textId="14CAF7CB" w:rsidR="00C5170E" w:rsidRDefault="00C5170E" w:rsidP="00C5170E">
            <w:pPr>
              <w:rPr>
                <w:color w:val="002060"/>
              </w:rPr>
            </w:pPr>
            <w:r>
              <w:rPr>
                <w:color w:val="002060"/>
              </w:rPr>
              <w:t>Urban Rural</w:t>
            </w:r>
          </w:p>
        </w:tc>
        <w:tc>
          <w:tcPr>
            <w:tcW w:w="7000" w:type="dxa"/>
          </w:tcPr>
          <w:p w14:paraId="2EB0597A" w14:textId="336CEFF5" w:rsidR="00C5170E" w:rsidRDefault="00C5170E" w:rsidP="00C5170E">
            <w:pPr>
              <w:rPr>
                <w:color w:val="002060"/>
              </w:rPr>
            </w:pPr>
            <w:r>
              <w:rPr>
                <w:color w:val="002060"/>
              </w:rPr>
              <w:t>The urban rural classification comes from the traffic information.</w:t>
            </w:r>
          </w:p>
        </w:tc>
      </w:tr>
      <w:tr w:rsidR="00C5170E" w:rsidRPr="007C31F0" w14:paraId="7B48B82C" w14:textId="77777777" w:rsidTr="00FCB3EE">
        <w:trPr>
          <w:trHeight w:val="274"/>
        </w:trPr>
        <w:tc>
          <w:tcPr>
            <w:tcW w:w="3060" w:type="dxa"/>
            <w:noWrap/>
          </w:tcPr>
          <w:p w14:paraId="3CC22386" w14:textId="3F37D5DC" w:rsidR="00C5170E" w:rsidRDefault="00C5170E" w:rsidP="00C5170E">
            <w:pPr>
              <w:rPr>
                <w:color w:val="002060"/>
              </w:rPr>
            </w:pPr>
            <w:r>
              <w:rPr>
                <w:color w:val="002060"/>
              </w:rPr>
              <w:t>ONRC Category</w:t>
            </w:r>
          </w:p>
        </w:tc>
        <w:tc>
          <w:tcPr>
            <w:tcW w:w="7000" w:type="dxa"/>
          </w:tcPr>
          <w:p w14:paraId="75D71956" w14:textId="77777777" w:rsidR="00C5170E" w:rsidRDefault="00C5170E" w:rsidP="00C5170E">
            <w:pPr>
              <w:rPr>
                <w:color w:val="002060"/>
              </w:rPr>
            </w:pPr>
            <w:r w:rsidRPr="00C5170E">
              <w:rPr>
                <w:color w:val="002060"/>
              </w:rPr>
              <w:t>The One Network Road Classification (ONRC) is a classification system, which divides New Zealand’s roads into six categories based on how busy they are, whether they connect to important destinations, or are the only route available</w:t>
            </w:r>
            <w:r>
              <w:rPr>
                <w:color w:val="002060"/>
              </w:rPr>
              <w:t>.</w:t>
            </w:r>
          </w:p>
          <w:p w14:paraId="7ED98ED0" w14:textId="33007421" w:rsidR="00C5170E" w:rsidRDefault="001179A4" w:rsidP="00C5170E">
            <w:pPr>
              <w:rPr>
                <w:color w:val="002060"/>
              </w:rPr>
            </w:pPr>
            <w:hyperlink r:id="rId8" w:history="1">
              <w:r w:rsidR="00C5170E" w:rsidRPr="0086291A">
                <w:rPr>
                  <w:rStyle w:val="Hyperlink"/>
                </w:rPr>
                <w:t>https://www.nzta.govt.nz/roads-and-rail/road-efficiency-group/projects/onrc</w:t>
              </w:r>
            </w:hyperlink>
          </w:p>
        </w:tc>
      </w:tr>
      <w:tr w:rsidR="00C5170E" w:rsidRPr="007C31F0" w14:paraId="19537D73" w14:textId="77777777" w:rsidTr="00FCB3EE">
        <w:trPr>
          <w:trHeight w:val="274"/>
        </w:trPr>
        <w:tc>
          <w:tcPr>
            <w:tcW w:w="3060" w:type="dxa"/>
            <w:noWrap/>
          </w:tcPr>
          <w:p w14:paraId="0E8A8369" w14:textId="5E596484" w:rsidR="00C5170E" w:rsidRDefault="00C5170E" w:rsidP="00C5170E">
            <w:pPr>
              <w:rPr>
                <w:color w:val="002060"/>
              </w:rPr>
            </w:pPr>
            <w:r>
              <w:rPr>
                <w:color w:val="002060"/>
              </w:rPr>
              <w:t>Surface Category</w:t>
            </w:r>
          </w:p>
        </w:tc>
        <w:tc>
          <w:tcPr>
            <w:tcW w:w="7000" w:type="dxa"/>
          </w:tcPr>
          <w:p w14:paraId="72E0135B" w14:textId="666FF106" w:rsidR="00C5170E" w:rsidRPr="00C5170E" w:rsidRDefault="526B2F70" w:rsidP="00C5170E">
            <w:pPr>
              <w:rPr>
                <w:color w:val="002060"/>
              </w:rPr>
            </w:pPr>
            <w:r w:rsidRPr="39E040D9">
              <w:rPr>
                <w:color w:val="002060"/>
              </w:rPr>
              <w:t xml:space="preserve">The surface category groups </w:t>
            </w:r>
            <w:r w:rsidR="7495B3FB" w:rsidRPr="39E040D9">
              <w:rPr>
                <w:color w:val="002060"/>
              </w:rPr>
              <w:t>provide</w:t>
            </w:r>
            <w:r w:rsidRPr="39E040D9">
              <w:rPr>
                <w:color w:val="002060"/>
              </w:rPr>
              <w:t xml:space="preserve"> a high</w:t>
            </w:r>
            <w:r w:rsidR="262BC9CC" w:rsidRPr="39E040D9">
              <w:rPr>
                <w:color w:val="002060"/>
              </w:rPr>
              <w:t>-</w:t>
            </w:r>
            <w:r w:rsidRPr="39E040D9">
              <w:rPr>
                <w:color w:val="002060"/>
              </w:rPr>
              <w:t>level grouping of paving methods.</w:t>
            </w:r>
          </w:p>
        </w:tc>
      </w:tr>
      <w:tr w:rsidR="00C5170E" w:rsidRPr="007C31F0" w14:paraId="069FDF17" w14:textId="77777777" w:rsidTr="00FCB3EE">
        <w:trPr>
          <w:trHeight w:val="274"/>
        </w:trPr>
        <w:tc>
          <w:tcPr>
            <w:tcW w:w="3060" w:type="dxa"/>
            <w:noWrap/>
          </w:tcPr>
          <w:p w14:paraId="7B60DBAD" w14:textId="02CD8C48" w:rsidR="00C5170E" w:rsidRDefault="00C5170E" w:rsidP="00C5170E">
            <w:pPr>
              <w:rPr>
                <w:color w:val="002060"/>
              </w:rPr>
            </w:pPr>
            <w:r>
              <w:rPr>
                <w:color w:val="002060"/>
              </w:rPr>
              <w:t>Skid Event</w:t>
            </w:r>
          </w:p>
        </w:tc>
        <w:tc>
          <w:tcPr>
            <w:tcW w:w="7000" w:type="dxa"/>
          </w:tcPr>
          <w:p w14:paraId="4DD8862A" w14:textId="7AA194CD" w:rsidR="00C5170E" w:rsidRDefault="00C5170E" w:rsidP="00C5170E">
            <w:pPr>
              <w:rPr>
                <w:color w:val="002060"/>
              </w:rPr>
            </w:pPr>
            <w:r>
              <w:rPr>
                <w:color w:val="002060"/>
              </w:rPr>
              <w:t>Skid event describes the section of road to identify curves,</w:t>
            </w:r>
            <w:r w:rsidR="000F4F40">
              <w:rPr>
                <w:color w:val="002060"/>
              </w:rPr>
              <w:t xml:space="preserve"> </w:t>
            </w:r>
            <w:r>
              <w:rPr>
                <w:color w:val="002060"/>
              </w:rPr>
              <w:t>intersections and approaches</w:t>
            </w:r>
            <w:r w:rsidR="000F4F40">
              <w:rPr>
                <w:color w:val="002060"/>
              </w:rPr>
              <w:t xml:space="preserve"> and more.</w:t>
            </w:r>
          </w:p>
        </w:tc>
      </w:tr>
      <w:tr w:rsidR="000F4F40" w:rsidRPr="007C31F0" w14:paraId="3DDF8009" w14:textId="77777777" w:rsidTr="00FCB3EE">
        <w:trPr>
          <w:trHeight w:val="274"/>
        </w:trPr>
        <w:tc>
          <w:tcPr>
            <w:tcW w:w="3060" w:type="dxa"/>
            <w:noWrap/>
          </w:tcPr>
          <w:p w14:paraId="3200B389" w14:textId="10AE7E72" w:rsidR="000F4F40" w:rsidRDefault="000F4F40" w:rsidP="00C5170E">
            <w:pPr>
              <w:rPr>
                <w:color w:val="002060"/>
              </w:rPr>
            </w:pPr>
            <w:r>
              <w:rPr>
                <w:color w:val="002060"/>
              </w:rPr>
              <w:t>ADT (10K Groups)</w:t>
            </w:r>
          </w:p>
        </w:tc>
        <w:tc>
          <w:tcPr>
            <w:tcW w:w="7000" w:type="dxa"/>
          </w:tcPr>
          <w:p w14:paraId="5FF4654F" w14:textId="7DF31EAB" w:rsidR="000F4F40" w:rsidRDefault="164844C2" w:rsidP="00C5170E">
            <w:pPr>
              <w:rPr>
                <w:color w:val="002060"/>
              </w:rPr>
            </w:pPr>
            <w:r w:rsidRPr="00FCB3EE">
              <w:rPr>
                <w:color w:val="002060"/>
              </w:rPr>
              <w:t>Average Daily Traffic (ADT) is one of the ways road volume is specified. This filter uses the FLOOR</w:t>
            </w:r>
            <w:r w:rsidR="088345F3" w:rsidRPr="00FCB3EE">
              <w:rPr>
                <w:color w:val="002060"/>
              </w:rPr>
              <w:t>*</w:t>
            </w:r>
            <w:r w:rsidR="6769FC57" w:rsidRPr="00FCB3EE">
              <w:rPr>
                <w:color w:val="002060"/>
              </w:rPr>
              <w:t>*</w:t>
            </w:r>
            <w:r w:rsidRPr="00FCB3EE">
              <w:rPr>
                <w:color w:val="002060"/>
              </w:rPr>
              <w:t xml:space="preserve"> function to create </w:t>
            </w:r>
            <w:r w:rsidR="7495B3FB" w:rsidRPr="00FCB3EE">
              <w:rPr>
                <w:color w:val="002060"/>
              </w:rPr>
              <w:t>10,000-kilometre</w:t>
            </w:r>
            <w:r w:rsidRPr="00FCB3EE">
              <w:rPr>
                <w:color w:val="002060"/>
              </w:rPr>
              <w:t xml:space="preserve"> groups.</w:t>
            </w:r>
          </w:p>
        </w:tc>
      </w:tr>
    </w:tbl>
    <w:p w14:paraId="11868B51" w14:textId="06FAE503" w:rsidR="7F07D94E" w:rsidRDefault="7F07D94E" w:rsidP="00FCB3EE">
      <w:pPr>
        <w:rPr>
          <w:i/>
          <w:iCs/>
          <w:color w:val="0070C0"/>
        </w:rPr>
      </w:pPr>
      <w:r w:rsidRPr="00FCB3EE">
        <w:rPr>
          <w:i/>
          <w:iCs/>
          <w:color w:val="0070C0"/>
        </w:rPr>
        <w:t xml:space="preserve"> * </w:t>
      </w:r>
      <w:r w:rsidRPr="00FCB3EE">
        <w:rPr>
          <w:rFonts w:ascii="Calibri" w:eastAsia="Calibri" w:hAnsi="Calibri" w:cs="Calibri"/>
          <w:sz w:val="22"/>
          <w:szCs w:val="22"/>
        </w:rPr>
        <w:t>Alliance  contracts are where multiple suppliers come together to deliver maintenance and operations. They have different terms from the standard NOC contract.</w:t>
      </w:r>
    </w:p>
    <w:p w14:paraId="3E4DD3EF" w14:textId="240728B8" w:rsidR="00F05D1B" w:rsidRPr="004F29ED" w:rsidRDefault="2A788B7B" w:rsidP="00FCB3EE">
      <w:pPr>
        <w:rPr>
          <w:i/>
          <w:iCs/>
          <w:color w:val="0070C0"/>
        </w:rPr>
      </w:pPr>
      <w:r w:rsidRPr="00FCB3EE">
        <w:rPr>
          <w:i/>
          <w:iCs/>
          <w:color w:val="0070C0"/>
        </w:rPr>
        <w:t xml:space="preserve"> </w:t>
      </w:r>
      <w:r w:rsidR="248F5BB0" w:rsidRPr="00FCB3EE">
        <w:rPr>
          <w:i/>
          <w:iCs/>
          <w:color w:val="0070C0"/>
        </w:rPr>
        <w:t>*</w:t>
      </w:r>
      <w:r w:rsidRPr="00FCB3EE">
        <w:rPr>
          <w:i/>
          <w:iCs/>
          <w:color w:val="0070C0"/>
        </w:rPr>
        <w:t>*</w:t>
      </w:r>
      <w:r w:rsidR="03A06E12" w:rsidRPr="00FCB3EE">
        <w:rPr>
          <w:i/>
          <w:iCs/>
          <w:color w:val="0070C0"/>
        </w:rPr>
        <w:t xml:space="preserve"> </w:t>
      </w:r>
      <w:r w:rsidR="03A06E12" w:rsidRPr="00FCB3EE">
        <w:rPr>
          <w:rFonts w:ascii="Calibri" w:eastAsia="Calibri" w:hAnsi="Calibri" w:cs="Calibri"/>
          <w:color w:val="000000" w:themeColor="text1"/>
          <w:sz w:val="22"/>
          <w:szCs w:val="22"/>
        </w:rPr>
        <w:t xml:space="preserve">Floor function change timestamp to date. </w:t>
      </w:r>
      <w:r w:rsidR="4E5BAE35" w:rsidRPr="00FCB3EE">
        <w:rPr>
          <w:rFonts w:ascii="Calibri" w:eastAsia="Calibri" w:hAnsi="Calibri" w:cs="Calibri"/>
          <w:color w:val="000000" w:themeColor="text1"/>
          <w:sz w:val="22"/>
          <w:szCs w:val="22"/>
        </w:rPr>
        <w:t>F</w:t>
      </w:r>
      <w:r w:rsidR="03A06E12" w:rsidRPr="00FCB3EE">
        <w:rPr>
          <w:rFonts w:ascii="Calibri" w:eastAsia="Calibri" w:hAnsi="Calibri" w:cs="Calibri"/>
          <w:color w:val="000000" w:themeColor="text1"/>
          <w:sz w:val="22"/>
          <w:szCs w:val="22"/>
        </w:rPr>
        <w:t>or numbers, it also remove</w:t>
      </w:r>
      <w:r w:rsidR="3E98AA5F" w:rsidRPr="00FCB3EE">
        <w:rPr>
          <w:rFonts w:ascii="Calibri" w:eastAsia="Calibri" w:hAnsi="Calibri" w:cs="Calibri"/>
          <w:color w:val="000000" w:themeColor="text1"/>
          <w:sz w:val="22"/>
          <w:szCs w:val="22"/>
        </w:rPr>
        <w:t>s</w:t>
      </w:r>
      <w:r w:rsidR="03A06E12" w:rsidRPr="00FCB3EE">
        <w:rPr>
          <w:rFonts w:ascii="Calibri" w:eastAsia="Calibri" w:hAnsi="Calibri" w:cs="Calibri"/>
          <w:color w:val="000000" w:themeColor="text1"/>
          <w:sz w:val="22"/>
          <w:szCs w:val="22"/>
        </w:rPr>
        <w:t xml:space="preserve"> all numbers after decimal points.</w:t>
      </w:r>
    </w:p>
    <w:sectPr w:rsidR="00F05D1B" w:rsidRPr="004F29ED" w:rsidSect="007C31F0">
      <w:footerReference w:type="default" r:id="rId9"/>
      <w:pgSz w:w="11906" w:h="16838"/>
      <w:pgMar w:top="1418" w:right="2126" w:bottom="851" w:left="992" w:header="709"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6D0D4" w14:textId="77777777" w:rsidR="00FA45A4" w:rsidRDefault="00FA45A4" w:rsidP="002A6A89">
      <w:r>
        <w:separator/>
      </w:r>
    </w:p>
  </w:endnote>
  <w:endnote w:type="continuationSeparator" w:id="0">
    <w:p w14:paraId="66F27C68" w14:textId="77777777" w:rsidR="00FA45A4" w:rsidRDefault="00FA45A4" w:rsidP="002A6A89">
      <w:r>
        <w:continuationSeparator/>
      </w:r>
    </w:p>
  </w:endnote>
  <w:endnote w:type="continuationNotice" w:id="1">
    <w:p w14:paraId="0C1306BA" w14:textId="77777777" w:rsidR="00FA45A4" w:rsidRDefault="00FA4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yant Regular">
    <w:altName w:val="Corbel"/>
    <w:panose1 w:val="00000000000000000000"/>
    <w:charset w:val="00"/>
    <w:family w:val="swiss"/>
    <w:notTrueType/>
    <w:pitch w:val="variable"/>
    <w:sig w:usb0="A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hitney Condensed Book">
    <w:panose1 w:val="00000000000000000000"/>
    <w:charset w:val="00"/>
    <w:family w:val="modern"/>
    <w:notTrueType/>
    <w:pitch w:val="variable"/>
    <w:sig w:usb0="A00000FF" w:usb1="4000004A" w:usb2="00000000" w:usb3="00000000" w:csb0="0000000B" w:csb1="00000000"/>
  </w:font>
  <w:font w:name="Lucida Sans">
    <w:panose1 w:val="020B0602040502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10206" w:type="dxa"/>
      <w:tblLook w:val="04A0" w:firstRow="1" w:lastRow="0" w:firstColumn="1" w:lastColumn="0" w:noHBand="0" w:noVBand="1"/>
    </w:tblPr>
    <w:tblGrid>
      <w:gridCol w:w="4962"/>
      <w:gridCol w:w="5244"/>
    </w:tblGrid>
    <w:tr w:rsidR="00C60CEF" w14:paraId="7A71B0E6" w14:textId="77777777" w:rsidTr="00CF1C79">
      <w:tc>
        <w:tcPr>
          <w:tcW w:w="4962" w:type="dxa"/>
        </w:tcPr>
        <w:p w14:paraId="355C3B06" w14:textId="77777777" w:rsidR="00C60CEF" w:rsidRDefault="00C60CEF" w:rsidP="002D125C">
          <w:pPr>
            <w:pStyle w:val="Footer"/>
          </w:pPr>
          <w:r>
            <w:t>Waka Kotahi NZ TRANSPORT AGENCY</w:t>
          </w:r>
        </w:p>
      </w:tc>
      <w:tc>
        <w:tcPr>
          <w:tcW w:w="5244" w:type="dxa"/>
        </w:tcPr>
        <w:p w14:paraId="2E5127D4" w14:textId="5DCAF48B" w:rsidR="00C60CEF" w:rsidRPr="00B16546" w:rsidRDefault="00C60CEF" w:rsidP="005E6C6B">
          <w:pPr>
            <w:pStyle w:val="Footer"/>
            <w:jc w:val="right"/>
          </w:pPr>
          <w:r>
            <w:t>Document title</w:t>
          </w:r>
          <w:r w:rsidRPr="00B16546">
            <w:rPr>
              <w:color w:val="197D5D" w:themeColor="accent2"/>
            </w:rPr>
            <w:t xml:space="preserve"> //</w:t>
          </w:r>
          <w:r>
            <w:rPr>
              <w:color w:val="197D5D" w:themeColor="accent2"/>
            </w:rPr>
            <w:t xml:space="preserve"> </w:t>
          </w:r>
          <w:r w:rsidRPr="00B16546">
            <w:fldChar w:fldCharType="begin"/>
          </w:r>
          <w:r w:rsidRPr="00B16546">
            <w:instrText xml:space="preserve"> PAGE   \* MERGEFORMAT </w:instrText>
          </w:r>
          <w:r w:rsidRPr="00B16546">
            <w:fldChar w:fldCharType="separate"/>
          </w:r>
          <w:r>
            <w:rPr>
              <w:noProof/>
            </w:rPr>
            <w:t>2</w:t>
          </w:r>
          <w:r w:rsidRPr="00B16546">
            <w:rPr>
              <w:noProof/>
            </w:rPr>
            <w:fldChar w:fldCharType="end"/>
          </w:r>
        </w:p>
      </w:tc>
    </w:tr>
  </w:tbl>
  <w:p w14:paraId="769C734B" w14:textId="77777777" w:rsidR="00C60CEF" w:rsidRPr="002D125C" w:rsidRDefault="00C60CEF" w:rsidP="006B1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F090" w14:textId="77777777" w:rsidR="00FA45A4" w:rsidRDefault="00FA45A4" w:rsidP="002A6A89">
      <w:r>
        <w:separator/>
      </w:r>
    </w:p>
  </w:footnote>
  <w:footnote w:type="continuationSeparator" w:id="0">
    <w:p w14:paraId="3CCDC75D" w14:textId="77777777" w:rsidR="00FA45A4" w:rsidRDefault="00FA45A4" w:rsidP="002A6A89">
      <w:r>
        <w:continuationSeparator/>
      </w:r>
    </w:p>
  </w:footnote>
  <w:footnote w:type="continuationNotice" w:id="1">
    <w:p w14:paraId="0C8BD9D5" w14:textId="77777777" w:rsidR="00FA45A4" w:rsidRDefault="00FA45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3AD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A077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B8FA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F86D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4C45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8"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E291E"/>
    <w:multiLevelType w:val="multilevel"/>
    <w:tmpl w:val="1FE6434E"/>
    <w:lvl w:ilvl="0">
      <w:start w:val="1"/>
      <w:numFmt w:val="bullet"/>
      <w:pStyle w:val="List-Bullets"/>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2DC40D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2EE67B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C204159"/>
    <w:multiLevelType w:val="hybridMultilevel"/>
    <w:tmpl w:val="79A8A1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8C1391B"/>
    <w:multiLevelType w:val="multilevel"/>
    <w:tmpl w:val="6E345A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pStyle w:val="Heading7"/>
      <w:lvlText w:val="APPENDIX %7 "/>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94F7A3E"/>
    <w:multiLevelType w:val="multilevel"/>
    <w:tmpl w:val="74EC0F4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strike w:val="0"/>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2" w15:restartNumberingAfterBreak="0">
    <w:nsid w:val="30613068"/>
    <w:multiLevelType w:val="hybridMultilevel"/>
    <w:tmpl w:val="9620C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9FE0275"/>
    <w:multiLevelType w:val="hybridMultilevel"/>
    <w:tmpl w:val="F0CA178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362557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483B7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086214"/>
    <w:multiLevelType w:val="hybridMultilevel"/>
    <w:tmpl w:val="EFA065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FD84CF2"/>
    <w:multiLevelType w:val="multilevel"/>
    <w:tmpl w:val="CE7AA23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0"/>
  </w:num>
  <w:num w:numId="3">
    <w:abstractNumId w:val="9"/>
  </w:num>
  <w:num w:numId="4">
    <w:abstractNumId w:val="7"/>
  </w:num>
  <w:num w:numId="5">
    <w:abstractNumId w:val="3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5"/>
  </w:num>
  <w:num w:numId="10">
    <w:abstractNumId w:val="4"/>
  </w:num>
  <w:num w:numId="11">
    <w:abstractNumId w:val="1"/>
  </w:num>
  <w:num w:numId="12">
    <w:abstractNumId w:val="0"/>
  </w:num>
  <w:num w:numId="13">
    <w:abstractNumId w:val="10"/>
  </w:num>
  <w:num w:numId="14">
    <w:abstractNumId w:val="13"/>
  </w:num>
  <w:num w:numId="15">
    <w:abstractNumId w:val="27"/>
  </w:num>
  <w:num w:numId="16">
    <w:abstractNumId w:val="12"/>
  </w:num>
  <w:num w:numId="17">
    <w:abstractNumId w:val="21"/>
  </w:num>
  <w:num w:numId="18">
    <w:abstractNumId w:val="20"/>
  </w:num>
  <w:num w:numId="19">
    <w:abstractNumId w:val="36"/>
  </w:num>
  <w:num w:numId="20">
    <w:abstractNumId w:val="22"/>
  </w:num>
  <w:num w:numId="21">
    <w:abstractNumId w:val="26"/>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23"/>
  </w:num>
  <w:num w:numId="26">
    <w:abstractNumId w:val="23"/>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8"/>
  </w:num>
  <w:num w:numId="28">
    <w:abstractNumId w:val="3"/>
  </w:num>
  <w:num w:numId="29">
    <w:abstractNumId w:val="2"/>
  </w:num>
  <w:num w:numId="30">
    <w:abstractNumId w:val="2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1">
    <w:abstractNumId w:val="2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31"/>
  </w:num>
  <w:num w:numId="33">
    <w:abstractNumId w:val="15"/>
  </w:num>
  <w:num w:numId="34">
    <w:abstractNumId w:val="29"/>
  </w:num>
  <w:num w:numId="35">
    <w:abstractNumId w:val="14"/>
  </w:num>
  <w:num w:numId="36">
    <w:abstractNumId w:val="18"/>
  </w:num>
  <w:num w:numId="37">
    <w:abstractNumId w:val="25"/>
  </w:num>
  <w:num w:numId="38">
    <w:abstractNumId w:val="28"/>
  </w:num>
  <w:num w:numId="39">
    <w:abstractNumId w:val="19"/>
  </w:num>
  <w:num w:numId="40">
    <w:abstractNumId w:val="24"/>
  </w:num>
  <w:num w:numId="41">
    <w:abstractNumId w:val="36"/>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6"/>
  </w:num>
  <w:num w:numId="4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8E"/>
    <w:rsid w:val="00025A28"/>
    <w:rsid w:val="00030D4D"/>
    <w:rsid w:val="00032023"/>
    <w:rsid w:val="00035D9F"/>
    <w:rsid w:val="000369F7"/>
    <w:rsid w:val="0004401A"/>
    <w:rsid w:val="0005128C"/>
    <w:rsid w:val="00053B6D"/>
    <w:rsid w:val="00057E8D"/>
    <w:rsid w:val="00061681"/>
    <w:rsid w:val="00067997"/>
    <w:rsid w:val="0007104C"/>
    <w:rsid w:val="00071EBA"/>
    <w:rsid w:val="00075EFB"/>
    <w:rsid w:val="0007634B"/>
    <w:rsid w:val="000811D9"/>
    <w:rsid w:val="00086A2E"/>
    <w:rsid w:val="000954DC"/>
    <w:rsid w:val="000A1172"/>
    <w:rsid w:val="000B3907"/>
    <w:rsid w:val="000B72B0"/>
    <w:rsid w:val="000C07B0"/>
    <w:rsid w:val="000C0AE0"/>
    <w:rsid w:val="000C1E1E"/>
    <w:rsid w:val="000D0678"/>
    <w:rsid w:val="000D11A6"/>
    <w:rsid w:val="000E35BD"/>
    <w:rsid w:val="000E7C8E"/>
    <w:rsid w:val="000F4F40"/>
    <w:rsid w:val="000F6B72"/>
    <w:rsid w:val="000F6BA7"/>
    <w:rsid w:val="001041D9"/>
    <w:rsid w:val="00113562"/>
    <w:rsid w:val="00114219"/>
    <w:rsid w:val="00115B21"/>
    <w:rsid w:val="0011760D"/>
    <w:rsid w:val="001179A4"/>
    <w:rsid w:val="00121B40"/>
    <w:rsid w:val="0013110B"/>
    <w:rsid w:val="00143D5E"/>
    <w:rsid w:val="001459CB"/>
    <w:rsid w:val="001539FD"/>
    <w:rsid w:val="00156CD8"/>
    <w:rsid w:val="00157021"/>
    <w:rsid w:val="00160D68"/>
    <w:rsid w:val="00161990"/>
    <w:rsid w:val="00167286"/>
    <w:rsid w:val="00170237"/>
    <w:rsid w:val="00175395"/>
    <w:rsid w:val="00177D82"/>
    <w:rsid w:val="00192245"/>
    <w:rsid w:val="001A6871"/>
    <w:rsid w:val="001B07A2"/>
    <w:rsid w:val="001C15DC"/>
    <w:rsid w:val="001C7CAB"/>
    <w:rsid w:val="001D4826"/>
    <w:rsid w:val="001E4B69"/>
    <w:rsid w:val="001F0702"/>
    <w:rsid w:val="001F0FB0"/>
    <w:rsid w:val="001F302D"/>
    <w:rsid w:val="001F5D6E"/>
    <w:rsid w:val="001F5EFB"/>
    <w:rsid w:val="002033EC"/>
    <w:rsid w:val="002043AF"/>
    <w:rsid w:val="0020564D"/>
    <w:rsid w:val="00211791"/>
    <w:rsid w:val="00215849"/>
    <w:rsid w:val="00220219"/>
    <w:rsid w:val="0022027D"/>
    <w:rsid w:val="00220D34"/>
    <w:rsid w:val="00224043"/>
    <w:rsid w:val="00224E08"/>
    <w:rsid w:val="0023591F"/>
    <w:rsid w:val="00237C79"/>
    <w:rsid w:val="002474C3"/>
    <w:rsid w:val="00247776"/>
    <w:rsid w:val="00250E0A"/>
    <w:rsid w:val="00252190"/>
    <w:rsid w:val="00254173"/>
    <w:rsid w:val="00271364"/>
    <w:rsid w:val="00277B17"/>
    <w:rsid w:val="0028048D"/>
    <w:rsid w:val="0028270D"/>
    <w:rsid w:val="00293B13"/>
    <w:rsid w:val="002A6A89"/>
    <w:rsid w:val="002A7571"/>
    <w:rsid w:val="002B3B43"/>
    <w:rsid w:val="002B5494"/>
    <w:rsid w:val="002D086B"/>
    <w:rsid w:val="002D125C"/>
    <w:rsid w:val="002D208E"/>
    <w:rsid w:val="002D6577"/>
    <w:rsid w:val="002E2A7B"/>
    <w:rsid w:val="002E5FB3"/>
    <w:rsid w:val="002E600B"/>
    <w:rsid w:val="002F7BBD"/>
    <w:rsid w:val="00311618"/>
    <w:rsid w:val="00312B5E"/>
    <w:rsid w:val="00312B97"/>
    <w:rsid w:val="00314449"/>
    <w:rsid w:val="00320303"/>
    <w:rsid w:val="00331F0E"/>
    <w:rsid w:val="00343B09"/>
    <w:rsid w:val="0034430D"/>
    <w:rsid w:val="00345B39"/>
    <w:rsid w:val="00357FAE"/>
    <w:rsid w:val="003608C9"/>
    <w:rsid w:val="00360B43"/>
    <w:rsid w:val="0037314E"/>
    <w:rsid w:val="003752A9"/>
    <w:rsid w:val="0038230B"/>
    <w:rsid w:val="00385EC4"/>
    <w:rsid w:val="00390B63"/>
    <w:rsid w:val="0039127F"/>
    <w:rsid w:val="003A3B64"/>
    <w:rsid w:val="003B54C2"/>
    <w:rsid w:val="003B7317"/>
    <w:rsid w:val="003C43A7"/>
    <w:rsid w:val="003C5487"/>
    <w:rsid w:val="003C72D2"/>
    <w:rsid w:val="003D301D"/>
    <w:rsid w:val="003D4CFB"/>
    <w:rsid w:val="003D6BE2"/>
    <w:rsid w:val="003E4B07"/>
    <w:rsid w:val="004050FB"/>
    <w:rsid w:val="00421A4C"/>
    <w:rsid w:val="0042385F"/>
    <w:rsid w:val="004278A7"/>
    <w:rsid w:val="00433C06"/>
    <w:rsid w:val="00435375"/>
    <w:rsid w:val="00437030"/>
    <w:rsid w:val="00437229"/>
    <w:rsid w:val="00441B3A"/>
    <w:rsid w:val="004539A2"/>
    <w:rsid w:val="004552DB"/>
    <w:rsid w:val="0045716E"/>
    <w:rsid w:val="0045769F"/>
    <w:rsid w:val="0045DF38"/>
    <w:rsid w:val="004664BE"/>
    <w:rsid w:val="00470CEE"/>
    <w:rsid w:val="0047342B"/>
    <w:rsid w:val="00475562"/>
    <w:rsid w:val="0048747F"/>
    <w:rsid w:val="004910F0"/>
    <w:rsid w:val="004A2385"/>
    <w:rsid w:val="004B0F61"/>
    <w:rsid w:val="004B30CA"/>
    <w:rsid w:val="004B3257"/>
    <w:rsid w:val="004B5791"/>
    <w:rsid w:val="004B60D3"/>
    <w:rsid w:val="004B6E2D"/>
    <w:rsid w:val="004C22F2"/>
    <w:rsid w:val="004C3A7C"/>
    <w:rsid w:val="004E1360"/>
    <w:rsid w:val="004F0D2A"/>
    <w:rsid w:val="004F29ED"/>
    <w:rsid w:val="00501B1F"/>
    <w:rsid w:val="00502F18"/>
    <w:rsid w:val="005146DA"/>
    <w:rsid w:val="00516A9C"/>
    <w:rsid w:val="0052433B"/>
    <w:rsid w:val="0052688D"/>
    <w:rsid w:val="00530969"/>
    <w:rsid w:val="005312E8"/>
    <w:rsid w:val="0053190A"/>
    <w:rsid w:val="0053688C"/>
    <w:rsid w:val="0054157E"/>
    <w:rsid w:val="00547C61"/>
    <w:rsid w:val="00554EAE"/>
    <w:rsid w:val="00555626"/>
    <w:rsid w:val="00556CE1"/>
    <w:rsid w:val="00560868"/>
    <w:rsid w:val="00570CBB"/>
    <w:rsid w:val="00585C21"/>
    <w:rsid w:val="005A6A09"/>
    <w:rsid w:val="005A73E5"/>
    <w:rsid w:val="005B4A6E"/>
    <w:rsid w:val="005B6393"/>
    <w:rsid w:val="005C1265"/>
    <w:rsid w:val="005C5A96"/>
    <w:rsid w:val="005D6031"/>
    <w:rsid w:val="005E09BD"/>
    <w:rsid w:val="005E0C01"/>
    <w:rsid w:val="005E3CC9"/>
    <w:rsid w:val="005E6C6B"/>
    <w:rsid w:val="005E7650"/>
    <w:rsid w:val="005F4178"/>
    <w:rsid w:val="00605BAA"/>
    <w:rsid w:val="006072B8"/>
    <w:rsid w:val="00607FC1"/>
    <w:rsid w:val="00611D2D"/>
    <w:rsid w:val="00612D75"/>
    <w:rsid w:val="00612ECD"/>
    <w:rsid w:val="00622FD7"/>
    <w:rsid w:val="00627EAE"/>
    <w:rsid w:val="0063211C"/>
    <w:rsid w:val="0063291E"/>
    <w:rsid w:val="00642EFA"/>
    <w:rsid w:val="0064503D"/>
    <w:rsid w:val="006513AD"/>
    <w:rsid w:val="006513D7"/>
    <w:rsid w:val="00653AFE"/>
    <w:rsid w:val="006572F6"/>
    <w:rsid w:val="00667AE5"/>
    <w:rsid w:val="006731F4"/>
    <w:rsid w:val="006758CD"/>
    <w:rsid w:val="0068222C"/>
    <w:rsid w:val="00682854"/>
    <w:rsid w:val="00692667"/>
    <w:rsid w:val="006A0AF7"/>
    <w:rsid w:val="006B15D1"/>
    <w:rsid w:val="006C75A0"/>
    <w:rsid w:val="006D24D5"/>
    <w:rsid w:val="006D4CE5"/>
    <w:rsid w:val="006E5368"/>
    <w:rsid w:val="006F1D13"/>
    <w:rsid w:val="006F322A"/>
    <w:rsid w:val="006F6B0A"/>
    <w:rsid w:val="00712E03"/>
    <w:rsid w:val="00715EA6"/>
    <w:rsid w:val="00720C22"/>
    <w:rsid w:val="007244BC"/>
    <w:rsid w:val="00740520"/>
    <w:rsid w:val="007405EB"/>
    <w:rsid w:val="00745AAD"/>
    <w:rsid w:val="0075036F"/>
    <w:rsid w:val="00751688"/>
    <w:rsid w:val="00752D58"/>
    <w:rsid w:val="00762D08"/>
    <w:rsid w:val="007660A8"/>
    <w:rsid w:val="00773A4B"/>
    <w:rsid w:val="00787356"/>
    <w:rsid w:val="00792DDB"/>
    <w:rsid w:val="00793A49"/>
    <w:rsid w:val="00795832"/>
    <w:rsid w:val="007A01E2"/>
    <w:rsid w:val="007A2B25"/>
    <w:rsid w:val="007A4AE9"/>
    <w:rsid w:val="007A720C"/>
    <w:rsid w:val="007B12EE"/>
    <w:rsid w:val="007B183E"/>
    <w:rsid w:val="007C31F0"/>
    <w:rsid w:val="007C4A95"/>
    <w:rsid w:val="007C7065"/>
    <w:rsid w:val="007D486F"/>
    <w:rsid w:val="007D4BE3"/>
    <w:rsid w:val="007E5871"/>
    <w:rsid w:val="007F4A72"/>
    <w:rsid w:val="007F6222"/>
    <w:rsid w:val="007F7BA5"/>
    <w:rsid w:val="00801544"/>
    <w:rsid w:val="00803B90"/>
    <w:rsid w:val="00814509"/>
    <w:rsid w:val="00815CA1"/>
    <w:rsid w:val="00816535"/>
    <w:rsid w:val="00820138"/>
    <w:rsid w:val="00820E0B"/>
    <w:rsid w:val="00825E68"/>
    <w:rsid w:val="008310DE"/>
    <w:rsid w:val="008406CD"/>
    <w:rsid w:val="0084200E"/>
    <w:rsid w:val="008467BA"/>
    <w:rsid w:val="00850F85"/>
    <w:rsid w:val="008636E6"/>
    <w:rsid w:val="00863A4F"/>
    <w:rsid w:val="00864951"/>
    <w:rsid w:val="00865866"/>
    <w:rsid w:val="00866D4B"/>
    <w:rsid w:val="0087011B"/>
    <w:rsid w:val="008741C4"/>
    <w:rsid w:val="0088268E"/>
    <w:rsid w:val="00883A19"/>
    <w:rsid w:val="008901D5"/>
    <w:rsid w:val="00891102"/>
    <w:rsid w:val="00891DAF"/>
    <w:rsid w:val="008930EB"/>
    <w:rsid w:val="00896982"/>
    <w:rsid w:val="008B3C98"/>
    <w:rsid w:val="008C2FA3"/>
    <w:rsid w:val="008C496A"/>
    <w:rsid w:val="008E4FCE"/>
    <w:rsid w:val="008E7C8B"/>
    <w:rsid w:val="008E7FDD"/>
    <w:rsid w:val="008F2F37"/>
    <w:rsid w:val="008F4876"/>
    <w:rsid w:val="009027C1"/>
    <w:rsid w:val="00914ECD"/>
    <w:rsid w:val="009212A6"/>
    <w:rsid w:val="00922D71"/>
    <w:rsid w:val="00923DCA"/>
    <w:rsid w:val="009245CA"/>
    <w:rsid w:val="00927B1F"/>
    <w:rsid w:val="00936F6B"/>
    <w:rsid w:val="00937E11"/>
    <w:rsid w:val="009400A2"/>
    <w:rsid w:val="009401D8"/>
    <w:rsid w:val="009412EA"/>
    <w:rsid w:val="0094763E"/>
    <w:rsid w:val="009500A8"/>
    <w:rsid w:val="00954A2F"/>
    <w:rsid w:val="009638D6"/>
    <w:rsid w:val="00966209"/>
    <w:rsid w:val="009716BB"/>
    <w:rsid w:val="0097314A"/>
    <w:rsid w:val="0097563D"/>
    <w:rsid w:val="00975C54"/>
    <w:rsid w:val="00985089"/>
    <w:rsid w:val="0098652C"/>
    <w:rsid w:val="009921D4"/>
    <w:rsid w:val="009932BC"/>
    <w:rsid w:val="009A2471"/>
    <w:rsid w:val="009A6E75"/>
    <w:rsid w:val="009B1D98"/>
    <w:rsid w:val="009B52BA"/>
    <w:rsid w:val="009B72D2"/>
    <w:rsid w:val="009C0037"/>
    <w:rsid w:val="009C3C55"/>
    <w:rsid w:val="009D1292"/>
    <w:rsid w:val="009E2836"/>
    <w:rsid w:val="009F6CB9"/>
    <w:rsid w:val="00A028AB"/>
    <w:rsid w:val="00A05140"/>
    <w:rsid w:val="00A12277"/>
    <w:rsid w:val="00A15745"/>
    <w:rsid w:val="00A20E45"/>
    <w:rsid w:val="00A23B6D"/>
    <w:rsid w:val="00A2553B"/>
    <w:rsid w:val="00A27FD2"/>
    <w:rsid w:val="00A40A7F"/>
    <w:rsid w:val="00A453DB"/>
    <w:rsid w:val="00A57102"/>
    <w:rsid w:val="00A60691"/>
    <w:rsid w:val="00A63EC0"/>
    <w:rsid w:val="00A70948"/>
    <w:rsid w:val="00A7304E"/>
    <w:rsid w:val="00A84F31"/>
    <w:rsid w:val="00A8769C"/>
    <w:rsid w:val="00A91360"/>
    <w:rsid w:val="00A9190B"/>
    <w:rsid w:val="00A92781"/>
    <w:rsid w:val="00A92CB0"/>
    <w:rsid w:val="00A93EBE"/>
    <w:rsid w:val="00A94555"/>
    <w:rsid w:val="00A95F03"/>
    <w:rsid w:val="00A9776E"/>
    <w:rsid w:val="00AA2086"/>
    <w:rsid w:val="00AB3D06"/>
    <w:rsid w:val="00AB6232"/>
    <w:rsid w:val="00AB7379"/>
    <w:rsid w:val="00AB7D84"/>
    <w:rsid w:val="00AC1552"/>
    <w:rsid w:val="00AC2B76"/>
    <w:rsid w:val="00AD02EB"/>
    <w:rsid w:val="00AD33DF"/>
    <w:rsid w:val="00AD5A73"/>
    <w:rsid w:val="00AD745A"/>
    <w:rsid w:val="00AE04DC"/>
    <w:rsid w:val="00AE2EDC"/>
    <w:rsid w:val="00AE3FB5"/>
    <w:rsid w:val="00AE4492"/>
    <w:rsid w:val="00AE4529"/>
    <w:rsid w:val="00AE6975"/>
    <w:rsid w:val="00AF7423"/>
    <w:rsid w:val="00B00DE1"/>
    <w:rsid w:val="00B03CD6"/>
    <w:rsid w:val="00B04523"/>
    <w:rsid w:val="00B16546"/>
    <w:rsid w:val="00B172F2"/>
    <w:rsid w:val="00B30DEF"/>
    <w:rsid w:val="00B3506C"/>
    <w:rsid w:val="00B41E01"/>
    <w:rsid w:val="00B47BF1"/>
    <w:rsid w:val="00B52E31"/>
    <w:rsid w:val="00B57E60"/>
    <w:rsid w:val="00B630F4"/>
    <w:rsid w:val="00B654B9"/>
    <w:rsid w:val="00B76535"/>
    <w:rsid w:val="00B76DC6"/>
    <w:rsid w:val="00B8003A"/>
    <w:rsid w:val="00B82350"/>
    <w:rsid w:val="00B82A81"/>
    <w:rsid w:val="00B85D21"/>
    <w:rsid w:val="00B8686A"/>
    <w:rsid w:val="00B94B62"/>
    <w:rsid w:val="00B952BA"/>
    <w:rsid w:val="00BA180D"/>
    <w:rsid w:val="00BA4807"/>
    <w:rsid w:val="00BA5CB9"/>
    <w:rsid w:val="00BA6735"/>
    <w:rsid w:val="00BB15E2"/>
    <w:rsid w:val="00BB3BEA"/>
    <w:rsid w:val="00BC7CAB"/>
    <w:rsid w:val="00BD1092"/>
    <w:rsid w:val="00BD221A"/>
    <w:rsid w:val="00BD5036"/>
    <w:rsid w:val="00BD62C5"/>
    <w:rsid w:val="00BE2AC9"/>
    <w:rsid w:val="00BE5F44"/>
    <w:rsid w:val="00BF722A"/>
    <w:rsid w:val="00C01548"/>
    <w:rsid w:val="00C01D1F"/>
    <w:rsid w:val="00C071B5"/>
    <w:rsid w:val="00C17B90"/>
    <w:rsid w:val="00C21E4A"/>
    <w:rsid w:val="00C23B00"/>
    <w:rsid w:val="00C248C0"/>
    <w:rsid w:val="00C25F4E"/>
    <w:rsid w:val="00C26D64"/>
    <w:rsid w:val="00C31DBD"/>
    <w:rsid w:val="00C352C3"/>
    <w:rsid w:val="00C36C01"/>
    <w:rsid w:val="00C37D03"/>
    <w:rsid w:val="00C41BD9"/>
    <w:rsid w:val="00C5170E"/>
    <w:rsid w:val="00C52C74"/>
    <w:rsid w:val="00C54D5F"/>
    <w:rsid w:val="00C57B16"/>
    <w:rsid w:val="00C60CEF"/>
    <w:rsid w:val="00C64FC3"/>
    <w:rsid w:val="00C70ED0"/>
    <w:rsid w:val="00C73084"/>
    <w:rsid w:val="00C737FE"/>
    <w:rsid w:val="00C76F91"/>
    <w:rsid w:val="00C85E51"/>
    <w:rsid w:val="00C865E9"/>
    <w:rsid w:val="00C874FD"/>
    <w:rsid w:val="00C87EF4"/>
    <w:rsid w:val="00C92A06"/>
    <w:rsid w:val="00C941C9"/>
    <w:rsid w:val="00CA3543"/>
    <w:rsid w:val="00CA7BD9"/>
    <w:rsid w:val="00CC6001"/>
    <w:rsid w:val="00CD3A7F"/>
    <w:rsid w:val="00CE21FE"/>
    <w:rsid w:val="00CE2E65"/>
    <w:rsid w:val="00CE4ECF"/>
    <w:rsid w:val="00CF1C79"/>
    <w:rsid w:val="00CF3575"/>
    <w:rsid w:val="00D04A6B"/>
    <w:rsid w:val="00D12F0E"/>
    <w:rsid w:val="00D131A5"/>
    <w:rsid w:val="00D22A6C"/>
    <w:rsid w:val="00D3073B"/>
    <w:rsid w:val="00D314CC"/>
    <w:rsid w:val="00D407A5"/>
    <w:rsid w:val="00D45275"/>
    <w:rsid w:val="00D47D0F"/>
    <w:rsid w:val="00D542FF"/>
    <w:rsid w:val="00D6650A"/>
    <w:rsid w:val="00D67786"/>
    <w:rsid w:val="00D80C50"/>
    <w:rsid w:val="00D810CF"/>
    <w:rsid w:val="00D84979"/>
    <w:rsid w:val="00D85A1F"/>
    <w:rsid w:val="00D92F9B"/>
    <w:rsid w:val="00D93A90"/>
    <w:rsid w:val="00DA0FDF"/>
    <w:rsid w:val="00DA7330"/>
    <w:rsid w:val="00DB201A"/>
    <w:rsid w:val="00DB240D"/>
    <w:rsid w:val="00DB35AA"/>
    <w:rsid w:val="00DB5BDB"/>
    <w:rsid w:val="00DC7CEC"/>
    <w:rsid w:val="00DD5ACD"/>
    <w:rsid w:val="00DE2F3D"/>
    <w:rsid w:val="00DE740E"/>
    <w:rsid w:val="00DE7812"/>
    <w:rsid w:val="00DF3D33"/>
    <w:rsid w:val="00E05304"/>
    <w:rsid w:val="00E0636C"/>
    <w:rsid w:val="00E14F0A"/>
    <w:rsid w:val="00E23290"/>
    <w:rsid w:val="00E30F1C"/>
    <w:rsid w:val="00E36BD0"/>
    <w:rsid w:val="00E53804"/>
    <w:rsid w:val="00E5578A"/>
    <w:rsid w:val="00E61D68"/>
    <w:rsid w:val="00E63B8A"/>
    <w:rsid w:val="00E76CD7"/>
    <w:rsid w:val="00E833C9"/>
    <w:rsid w:val="00E85C1E"/>
    <w:rsid w:val="00E8741D"/>
    <w:rsid w:val="00EA5921"/>
    <w:rsid w:val="00EB2330"/>
    <w:rsid w:val="00ED4974"/>
    <w:rsid w:val="00EE0856"/>
    <w:rsid w:val="00EE10DC"/>
    <w:rsid w:val="00EE11FB"/>
    <w:rsid w:val="00EE5963"/>
    <w:rsid w:val="00EE6355"/>
    <w:rsid w:val="00EF243E"/>
    <w:rsid w:val="00EF39D0"/>
    <w:rsid w:val="00F02999"/>
    <w:rsid w:val="00F04283"/>
    <w:rsid w:val="00F05D1B"/>
    <w:rsid w:val="00F269F2"/>
    <w:rsid w:val="00F313FA"/>
    <w:rsid w:val="00F3271F"/>
    <w:rsid w:val="00F33053"/>
    <w:rsid w:val="00F4125A"/>
    <w:rsid w:val="00F5074F"/>
    <w:rsid w:val="00F5118C"/>
    <w:rsid w:val="00F5325B"/>
    <w:rsid w:val="00F546D0"/>
    <w:rsid w:val="00F66E04"/>
    <w:rsid w:val="00F715D1"/>
    <w:rsid w:val="00F720A0"/>
    <w:rsid w:val="00F74D98"/>
    <w:rsid w:val="00F74EEC"/>
    <w:rsid w:val="00F814E9"/>
    <w:rsid w:val="00F86D0D"/>
    <w:rsid w:val="00F96CEA"/>
    <w:rsid w:val="00FA0E71"/>
    <w:rsid w:val="00FA45A4"/>
    <w:rsid w:val="00FA5C85"/>
    <w:rsid w:val="00FA6960"/>
    <w:rsid w:val="00FB133E"/>
    <w:rsid w:val="00FB58F0"/>
    <w:rsid w:val="00FC11D9"/>
    <w:rsid w:val="00FC5F42"/>
    <w:rsid w:val="00FCB3EE"/>
    <w:rsid w:val="00FD0C87"/>
    <w:rsid w:val="00FD3062"/>
    <w:rsid w:val="00FD3387"/>
    <w:rsid w:val="00FE0BC0"/>
    <w:rsid w:val="00FE2561"/>
    <w:rsid w:val="00FE5819"/>
    <w:rsid w:val="00FF13A3"/>
    <w:rsid w:val="00FF5737"/>
    <w:rsid w:val="021B29BA"/>
    <w:rsid w:val="02AB952B"/>
    <w:rsid w:val="02BBF242"/>
    <w:rsid w:val="02F07844"/>
    <w:rsid w:val="03913BCD"/>
    <w:rsid w:val="03A06E12"/>
    <w:rsid w:val="044165A5"/>
    <w:rsid w:val="048300B7"/>
    <w:rsid w:val="04CDF2A6"/>
    <w:rsid w:val="05D176E2"/>
    <w:rsid w:val="0722E197"/>
    <w:rsid w:val="073D5909"/>
    <w:rsid w:val="07958920"/>
    <w:rsid w:val="07ABD91C"/>
    <w:rsid w:val="083C98F2"/>
    <w:rsid w:val="088345F3"/>
    <w:rsid w:val="0895881E"/>
    <w:rsid w:val="08DA692F"/>
    <w:rsid w:val="09BE14E1"/>
    <w:rsid w:val="0A927BE2"/>
    <w:rsid w:val="0CF8E744"/>
    <w:rsid w:val="0D184495"/>
    <w:rsid w:val="0D1D3313"/>
    <w:rsid w:val="0D87E522"/>
    <w:rsid w:val="0DD96AD5"/>
    <w:rsid w:val="0E32A607"/>
    <w:rsid w:val="0EE9D03B"/>
    <w:rsid w:val="0FEB05F6"/>
    <w:rsid w:val="10685749"/>
    <w:rsid w:val="10E61CD9"/>
    <w:rsid w:val="1133739B"/>
    <w:rsid w:val="118A643A"/>
    <w:rsid w:val="12BE9A04"/>
    <w:rsid w:val="135AB71B"/>
    <w:rsid w:val="141F1737"/>
    <w:rsid w:val="143D5CBC"/>
    <w:rsid w:val="145DE2BD"/>
    <w:rsid w:val="14899E0F"/>
    <w:rsid w:val="14B4598F"/>
    <w:rsid w:val="14B79996"/>
    <w:rsid w:val="14E0B399"/>
    <w:rsid w:val="164844C2"/>
    <w:rsid w:val="16641A8C"/>
    <w:rsid w:val="169CE852"/>
    <w:rsid w:val="172FEFE5"/>
    <w:rsid w:val="187520D7"/>
    <w:rsid w:val="1A0A59AF"/>
    <w:rsid w:val="1B67ADE6"/>
    <w:rsid w:val="1D6E032A"/>
    <w:rsid w:val="1E7ABBF8"/>
    <w:rsid w:val="1ECC4054"/>
    <w:rsid w:val="1EF8A01F"/>
    <w:rsid w:val="1F0F1ABF"/>
    <w:rsid w:val="202C9152"/>
    <w:rsid w:val="20D2B50D"/>
    <w:rsid w:val="213439A0"/>
    <w:rsid w:val="215240F2"/>
    <w:rsid w:val="21AC56B7"/>
    <w:rsid w:val="222B3E1F"/>
    <w:rsid w:val="232BECE8"/>
    <w:rsid w:val="23CBAB50"/>
    <w:rsid w:val="23E3CA0D"/>
    <w:rsid w:val="248F5BB0"/>
    <w:rsid w:val="25B76502"/>
    <w:rsid w:val="262167B6"/>
    <w:rsid w:val="262BC9CC"/>
    <w:rsid w:val="263265F0"/>
    <w:rsid w:val="276DFF0E"/>
    <w:rsid w:val="278DF956"/>
    <w:rsid w:val="279C0002"/>
    <w:rsid w:val="28AA88B2"/>
    <w:rsid w:val="28F2CF30"/>
    <w:rsid w:val="2A788B7B"/>
    <w:rsid w:val="2B3FCC30"/>
    <w:rsid w:val="2C0F1A0C"/>
    <w:rsid w:val="2C331F13"/>
    <w:rsid w:val="2D7848CE"/>
    <w:rsid w:val="2D94D4A4"/>
    <w:rsid w:val="2E431642"/>
    <w:rsid w:val="2E6802F7"/>
    <w:rsid w:val="2EDD71E5"/>
    <w:rsid w:val="2F35A229"/>
    <w:rsid w:val="2F98B6B5"/>
    <w:rsid w:val="2FB78B6A"/>
    <w:rsid w:val="306C9637"/>
    <w:rsid w:val="320C8ED6"/>
    <w:rsid w:val="32F2F501"/>
    <w:rsid w:val="33580E88"/>
    <w:rsid w:val="339995A9"/>
    <w:rsid w:val="344F7F95"/>
    <w:rsid w:val="3500B467"/>
    <w:rsid w:val="3582579D"/>
    <w:rsid w:val="36508028"/>
    <w:rsid w:val="37ADE01E"/>
    <w:rsid w:val="38100937"/>
    <w:rsid w:val="382CC5BA"/>
    <w:rsid w:val="388DC757"/>
    <w:rsid w:val="38E37FCA"/>
    <w:rsid w:val="392CF73E"/>
    <w:rsid w:val="39E040D9"/>
    <w:rsid w:val="3A061832"/>
    <w:rsid w:val="3A143448"/>
    <w:rsid w:val="3AA665FC"/>
    <w:rsid w:val="3AF4BDDF"/>
    <w:rsid w:val="3BDD89FB"/>
    <w:rsid w:val="3C3D08B1"/>
    <w:rsid w:val="3CE63CC2"/>
    <w:rsid w:val="3D3D483D"/>
    <w:rsid w:val="3DB3497A"/>
    <w:rsid w:val="3E0A376F"/>
    <w:rsid w:val="3E98AA5F"/>
    <w:rsid w:val="3ED10894"/>
    <w:rsid w:val="3FA59EF7"/>
    <w:rsid w:val="3FBE1CAD"/>
    <w:rsid w:val="3FC6D815"/>
    <w:rsid w:val="4108C5A5"/>
    <w:rsid w:val="410D2CC8"/>
    <w:rsid w:val="41F7C6FD"/>
    <w:rsid w:val="435809E0"/>
    <w:rsid w:val="44B61641"/>
    <w:rsid w:val="44C3BA61"/>
    <w:rsid w:val="463DBC3E"/>
    <w:rsid w:val="463F42A4"/>
    <w:rsid w:val="46CD3FCC"/>
    <w:rsid w:val="48124C48"/>
    <w:rsid w:val="488B742B"/>
    <w:rsid w:val="4897CCD2"/>
    <w:rsid w:val="4959CDFB"/>
    <w:rsid w:val="4A0B673F"/>
    <w:rsid w:val="4A877674"/>
    <w:rsid w:val="4A9EF4F1"/>
    <w:rsid w:val="4AA231F9"/>
    <w:rsid w:val="4BA929E4"/>
    <w:rsid w:val="4BD3DF62"/>
    <w:rsid w:val="4C3D4CED"/>
    <w:rsid w:val="4C8ECCCC"/>
    <w:rsid w:val="4D2526C0"/>
    <w:rsid w:val="4D952783"/>
    <w:rsid w:val="4DB9776D"/>
    <w:rsid w:val="4E2A6E03"/>
    <w:rsid w:val="4E46AA52"/>
    <w:rsid w:val="4E5BAE35"/>
    <w:rsid w:val="4E61CBD3"/>
    <w:rsid w:val="4F4F1595"/>
    <w:rsid w:val="4F4F6C11"/>
    <w:rsid w:val="506CC791"/>
    <w:rsid w:val="508F4D86"/>
    <w:rsid w:val="50BBF462"/>
    <w:rsid w:val="512C0612"/>
    <w:rsid w:val="517BEA9E"/>
    <w:rsid w:val="517E5F7E"/>
    <w:rsid w:val="519EB737"/>
    <w:rsid w:val="526B2F70"/>
    <w:rsid w:val="52813F95"/>
    <w:rsid w:val="52EB1016"/>
    <w:rsid w:val="54A2B1FE"/>
    <w:rsid w:val="54C2D010"/>
    <w:rsid w:val="55111E26"/>
    <w:rsid w:val="5520DD70"/>
    <w:rsid w:val="553FB5A2"/>
    <w:rsid w:val="55727948"/>
    <w:rsid w:val="56FB274F"/>
    <w:rsid w:val="571027A6"/>
    <w:rsid w:val="5710A70B"/>
    <w:rsid w:val="57724BF0"/>
    <w:rsid w:val="582482A3"/>
    <w:rsid w:val="58366B8F"/>
    <w:rsid w:val="58F19581"/>
    <w:rsid w:val="5906E894"/>
    <w:rsid w:val="598E8C7A"/>
    <w:rsid w:val="59F17084"/>
    <w:rsid w:val="5A27101B"/>
    <w:rsid w:val="5A6814DE"/>
    <w:rsid w:val="5B1DF6C5"/>
    <w:rsid w:val="5B3AE1F1"/>
    <w:rsid w:val="5C188A2C"/>
    <w:rsid w:val="5C26EFAC"/>
    <w:rsid w:val="5CA9A814"/>
    <w:rsid w:val="5D340F5A"/>
    <w:rsid w:val="5E589FA1"/>
    <w:rsid w:val="5F28C782"/>
    <w:rsid w:val="5FB9E226"/>
    <w:rsid w:val="5FE16FFD"/>
    <w:rsid w:val="600D91DE"/>
    <w:rsid w:val="606BD1B4"/>
    <w:rsid w:val="61469B0B"/>
    <w:rsid w:val="6150907A"/>
    <w:rsid w:val="61DE5175"/>
    <w:rsid w:val="62BDA49E"/>
    <w:rsid w:val="631407C0"/>
    <w:rsid w:val="6474B789"/>
    <w:rsid w:val="647A1692"/>
    <w:rsid w:val="64FAC4B4"/>
    <w:rsid w:val="657AF82E"/>
    <w:rsid w:val="65B7CB50"/>
    <w:rsid w:val="65D8B914"/>
    <w:rsid w:val="66042BA0"/>
    <w:rsid w:val="660C7EA2"/>
    <w:rsid w:val="662A140B"/>
    <w:rsid w:val="663C8F73"/>
    <w:rsid w:val="6769FC57"/>
    <w:rsid w:val="678D523F"/>
    <w:rsid w:val="682666F8"/>
    <w:rsid w:val="6838E038"/>
    <w:rsid w:val="684FD487"/>
    <w:rsid w:val="6858E9E4"/>
    <w:rsid w:val="689DAC96"/>
    <w:rsid w:val="6AF9E817"/>
    <w:rsid w:val="6C25B04B"/>
    <w:rsid w:val="6CE7959D"/>
    <w:rsid w:val="6CFC0F8C"/>
    <w:rsid w:val="6D8CD188"/>
    <w:rsid w:val="6D9F8BF2"/>
    <w:rsid w:val="6DC1F94D"/>
    <w:rsid w:val="6DC34711"/>
    <w:rsid w:val="6E75E637"/>
    <w:rsid w:val="6F26A769"/>
    <w:rsid w:val="7024F4A4"/>
    <w:rsid w:val="70425FC3"/>
    <w:rsid w:val="707CC7E0"/>
    <w:rsid w:val="70FF0BE3"/>
    <w:rsid w:val="715F8BC6"/>
    <w:rsid w:val="71C2B748"/>
    <w:rsid w:val="71E735AA"/>
    <w:rsid w:val="727C4C91"/>
    <w:rsid w:val="727E4F22"/>
    <w:rsid w:val="73A8AFF5"/>
    <w:rsid w:val="73C3CC23"/>
    <w:rsid w:val="73FB9A9F"/>
    <w:rsid w:val="7495B3FB"/>
    <w:rsid w:val="74D7E9D7"/>
    <w:rsid w:val="75B40B84"/>
    <w:rsid w:val="7692145A"/>
    <w:rsid w:val="76B79E0B"/>
    <w:rsid w:val="76BD8E95"/>
    <w:rsid w:val="77534680"/>
    <w:rsid w:val="7757E459"/>
    <w:rsid w:val="776F5DA8"/>
    <w:rsid w:val="784B87D5"/>
    <w:rsid w:val="78944A68"/>
    <w:rsid w:val="7935C543"/>
    <w:rsid w:val="799D954A"/>
    <w:rsid w:val="79AF12F2"/>
    <w:rsid w:val="7A3AA35F"/>
    <w:rsid w:val="7AD7F471"/>
    <w:rsid w:val="7B3C9777"/>
    <w:rsid w:val="7C7880BA"/>
    <w:rsid w:val="7CB505DD"/>
    <w:rsid w:val="7CC98863"/>
    <w:rsid w:val="7CCB29FC"/>
    <w:rsid w:val="7D21D612"/>
    <w:rsid w:val="7DCF510D"/>
    <w:rsid w:val="7EF4F245"/>
    <w:rsid w:val="7F07D9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9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5" w:qFormat="1"/>
    <w:lsdException w:name="heading 2" w:semiHidden="1" w:uiPriority="5" w:unhideWhenUsed="1" w:qFormat="1"/>
    <w:lsdException w:name="heading 3" w:semiHidden="1" w:uiPriority="5" w:unhideWhenUsed="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8"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uiPriority="7"/>
    <w:lsdException w:name="List Number" w:uiPriority="99"/>
    <w:lsdException w:name="List 2" w:uiPriority="7"/>
    <w:lsdException w:name="List 3" w:semiHidden="1" w:unhideWhenUsed="1"/>
    <w:lsdException w:name="List 4" w:semiHidden="1" w:unhideWhenUsed="1"/>
    <w:lsdException w:name="List 5" w:semiHidden="1" w:uiPriority="99"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2" w:uiPriority="99"/>
    <w:lsdException w:name="List Number 3" w:uiPriority="99"/>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9A4"/>
    <w:pPr>
      <w:spacing w:after="120" w:line="240" w:lineRule="exact"/>
    </w:pPr>
  </w:style>
  <w:style w:type="paragraph" w:styleId="Heading1">
    <w:name w:val="heading 1"/>
    <w:basedOn w:val="Normal"/>
    <w:next w:val="Normal"/>
    <w:link w:val="Heading1Char"/>
    <w:uiPriority w:val="5"/>
    <w:qFormat/>
    <w:rsid w:val="001179A4"/>
    <w:pPr>
      <w:keepNext/>
      <w:keepLines/>
      <w:spacing w:after="360" w:line="400" w:lineRule="exact"/>
      <w:outlineLvl w:val="0"/>
    </w:pPr>
    <w:rPr>
      <w:rFonts w:asciiTheme="majorHAnsi" w:eastAsiaTheme="majorEastAsia" w:hAnsiTheme="majorHAnsi" w:cstheme="majorBidi"/>
      <w:b/>
      <w:caps/>
      <w:color w:val="AFBD22" w:themeColor="text2"/>
      <w:sz w:val="36"/>
      <w:szCs w:val="36"/>
    </w:rPr>
  </w:style>
  <w:style w:type="paragraph" w:styleId="Heading2">
    <w:name w:val="heading 2"/>
    <w:basedOn w:val="Normal"/>
    <w:next w:val="Normal"/>
    <w:link w:val="Heading2Char"/>
    <w:uiPriority w:val="5"/>
    <w:unhideWhenUsed/>
    <w:qFormat/>
    <w:rsid w:val="001179A4"/>
    <w:pPr>
      <w:keepNext/>
      <w:keepLines/>
      <w:spacing w:before="240" w:line="320" w:lineRule="exact"/>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iPriority w:val="5"/>
    <w:unhideWhenUsed/>
    <w:qFormat/>
    <w:rsid w:val="001179A4"/>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qFormat/>
    <w:rsid w:val="0088268E"/>
    <w:pPr>
      <w:tabs>
        <w:tab w:val="left" w:pos="3402"/>
      </w:tabs>
      <w:spacing w:before="140" w:after="140" w:line="280" w:lineRule="atLeast"/>
      <w:outlineLvl w:val="3"/>
    </w:pPr>
    <w:rPr>
      <w:b/>
      <w:lang w:eastAsia="en-NZ"/>
    </w:rPr>
  </w:style>
  <w:style w:type="paragraph" w:styleId="Heading5">
    <w:name w:val="heading 5"/>
    <w:basedOn w:val="Normal"/>
    <w:next w:val="Normal"/>
    <w:link w:val="Heading5Char"/>
    <w:qFormat/>
    <w:rsid w:val="0088268E"/>
    <w:pPr>
      <w:spacing w:before="240" w:after="60"/>
      <w:outlineLvl w:val="4"/>
    </w:pPr>
    <w:rPr>
      <w:b/>
      <w:bCs/>
      <w:i/>
      <w:iCs/>
      <w:sz w:val="26"/>
      <w:szCs w:val="26"/>
    </w:rPr>
  </w:style>
  <w:style w:type="paragraph" w:styleId="Heading6">
    <w:name w:val="heading 6"/>
    <w:basedOn w:val="Normal"/>
    <w:next w:val="Normal"/>
    <w:link w:val="Heading6Char"/>
    <w:qFormat/>
    <w:rsid w:val="0088268E"/>
    <w:pPr>
      <w:spacing w:before="240" w:after="60"/>
      <w:outlineLvl w:val="5"/>
    </w:pPr>
    <w:rPr>
      <w:b/>
      <w:bCs/>
    </w:rPr>
  </w:style>
  <w:style w:type="paragraph" w:styleId="Heading7">
    <w:name w:val="heading 7"/>
    <w:basedOn w:val="Normal"/>
    <w:next w:val="Normal"/>
    <w:link w:val="Heading7Char"/>
    <w:qFormat/>
    <w:rsid w:val="0088268E"/>
    <w:pPr>
      <w:numPr>
        <w:ilvl w:val="6"/>
        <w:numId w:val="18"/>
      </w:numPr>
      <w:spacing w:before="240" w:after="60"/>
      <w:outlineLvl w:val="6"/>
    </w:pPr>
    <w:rPr>
      <w:b/>
      <w:color w:val="1F497D"/>
      <w:sz w:val="28"/>
    </w:rPr>
  </w:style>
  <w:style w:type="paragraph" w:styleId="Heading8">
    <w:name w:val="heading 8"/>
    <w:basedOn w:val="Normal"/>
    <w:next w:val="Normal"/>
    <w:link w:val="Heading8Char"/>
    <w:qFormat/>
    <w:rsid w:val="0088268E"/>
    <w:pPr>
      <w:spacing w:before="240" w:after="60"/>
      <w:outlineLvl w:val="7"/>
    </w:pPr>
    <w:rPr>
      <w:i/>
      <w:iCs/>
    </w:rPr>
  </w:style>
  <w:style w:type="paragraph" w:styleId="Heading9">
    <w:name w:val="heading 9"/>
    <w:basedOn w:val="Normal"/>
    <w:next w:val="Normal"/>
    <w:link w:val="Heading9Char"/>
    <w:qFormat/>
    <w:rsid w:val="0088268E"/>
    <w:pPr>
      <w:spacing w:before="240" w:after="60"/>
      <w:outlineLvl w:val="8"/>
    </w:pPr>
    <w:rPr>
      <w:rFonts w:ascii="Arial" w:hAnsi="Arial" w:cs="Arial"/>
    </w:rPr>
  </w:style>
  <w:style w:type="character" w:default="1" w:styleId="DefaultParagraphFont">
    <w:name w:val="Default Paragraph Font"/>
    <w:uiPriority w:val="1"/>
    <w:semiHidden/>
    <w:unhideWhenUsed/>
    <w:rsid w:val="001179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79A4"/>
  </w:style>
  <w:style w:type="table" w:customStyle="1" w:styleId="ListTable3-Accent11">
    <w:name w:val="List Table 3 - Accent 11"/>
    <w:basedOn w:val="TableNormal"/>
    <w:next w:val="ListTable3-Accent1"/>
    <w:uiPriority w:val="48"/>
    <w:rsid w:val="001179A4"/>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1179A4"/>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1179A4"/>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1179A4"/>
    <w:pPr>
      <w:numPr>
        <w:numId w:val="1"/>
      </w:numPr>
      <w:contextualSpacing/>
    </w:pPr>
  </w:style>
  <w:style w:type="paragraph" w:styleId="Header">
    <w:name w:val="header"/>
    <w:basedOn w:val="Normal"/>
    <w:link w:val="HeaderChar"/>
    <w:uiPriority w:val="99"/>
    <w:unhideWhenUsed/>
    <w:rsid w:val="0011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9A4"/>
  </w:style>
  <w:style w:type="paragraph" w:styleId="Footer">
    <w:name w:val="footer"/>
    <w:basedOn w:val="Normal"/>
    <w:link w:val="FooterChar"/>
    <w:uiPriority w:val="98"/>
    <w:unhideWhenUsed/>
    <w:rsid w:val="001179A4"/>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1179A4"/>
    <w:rPr>
      <w:rFonts w:ascii="Arial" w:hAnsi="Arial"/>
      <w:caps/>
      <w:color w:val="2575AE" w:themeColor="accent1"/>
      <w:sz w:val="16"/>
    </w:rPr>
  </w:style>
  <w:style w:type="paragraph" w:styleId="Title">
    <w:name w:val="Title"/>
    <w:basedOn w:val="Normal"/>
    <w:next w:val="Normal"/>
    <w:link w:val="TitleChar"/>
    <w:uiPriority w:val="4"/>
    <w:qFormat/>
    <w:rsid w:val="001179A4"/>
    <w:pPr>
      <w:spacing w:before="120"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4"/>
    <w:rsid w:val="001179A4"/>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1179A4"/>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1179A4"/>
    <w:rPr>
      <w:rFonts w:eastAsiaTheme="minorEastAsia"/>
      <w:color w:val="2575AE" w:themeColor="accent1"/>
      <w:sz w:val="32"/>
      <w:szCs w:val="32"/>
    </w:rPr>
  </w:style>
  <w:style w:type="paragraph" w:customStyle="1" w:styleId="Details">
    <w:name w:val="Details"/>
    <w:basedOn w:val="Normal"/>
    <w:uiPriority w:val="97"/>
    <w:qFormat/>
    <w:rsid w:val="001179A4"/>
    <w:pPr>
      <w:ind w:left="1672"/>
    </w:pPr>
    <w:rPr>
      <w:caps/>
      <w:color w:val="19456B" w:themeColor="background2"/>
    </w:rPr>
  </w:style>
  <w:style w:type="character" w:styleId="Hyperlink">
    <w:name w:val="Hyperlink"/>
    <w:basedOn w:val="DefaultParagraphFont"/>
    <w:uiPriority w:val="99"/>
    <w:unhideWhenUsed/>
    <w:rsid w:val="001179A4"/>
    <w:rPr>
      <w:color w:val="0563C1" w:themeColor="hyperlink"/>
      <w:u w:val="single"/>
    </w:rPr>
  </w:style>
  <w:style w:type="character" w:customStyle="1" w:styleId="Heading1Char">
    <w:name w:val="Heading 1 Char"/>
    <w:basedOn w:val="DefaultParagraphFont"/>
    <w:link w:val="Heading1"/>
    <w:uiPriority w:val="5"/>
    <w:rsid w:val="001179A4"/>
    <w:rPr>
      <w:rFonts w:asciiTheme="majorHAnsi" w:eastAsiaTheme="majorEastAsia" w:hAnsiTheme="majorHAnsi" w:cstheme="majorBidi"/>
      <w:b/>
      <w:caps/>
      <w:color w:val="AFBD22" w:themeColor="text2"/>
      <w:sz w:val="36"/>
      <w:szCs w:val="36"/>
    </w:rPr>
  </w:style>
  <w:style w:type="paragraph" w:styleId="TOC9">
    <w:name w:val="toc 9"/>
    <w:basedOn w:val="Normal"/>
    <w:next w:val="Normal"/>
    <w:autoRedefine/>
    <w:uiPriority w:val="39"/>
    <w:unhideWhenUsed/>
    <w:rsid w:val="001179A4"/>
    <w:pPr>
      <w:spacing w:after="100"/>
      <w:ind w:left="1600"/>
    </w:pPr>
  </w:style>
  <w:style w:type="character" w:customStyle="1" w:styleId="Heading2Char">
    <w:name w:val="Heading 2 Char"/>
    <w:basedOn w:val="DefaultParagraphFont"/>
    <w:link w:val="Heading2"/>
    <w:uiPriority w:val="5"/>
    <w:rsid w:val="001179A4"/>
    <w:rPr>
      <w:rFonts w:asciiTheme="majorHAnsi" w:eastAsiaTheme="majorEastAsia" w:hAnsiTheme="majorHAnsi" w:cstheme="majorBidi"/>
      <w:b/>
      <w:color w:val="1B5782" w:themeColor="accent1" w:themeShade="BF"/>
      <w:sz w:val="28"/>
      <w:szCs w:val="26"/>
    </w:rPr>
  </w:style>
  <w:style w:type="character" w:customStyle="1" w:styleId="Heading3Char">
    <w:name w:val="Heading 3 Char"/>
    <w:basedOn w:val="DefaultParagraphFont"/>
    <w:link w:val="Heading3"/>
    <w:uiPriority w:val="5"/>
    <w:rsid w:val="001179A4"/>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1179A4"/>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1179A4"/>
    <w:pPr>
      <w:outlineLvl w:val="9"/>
    </w:pPr>
    <w:rPr>
      <w:caps w:val="0"/>
      <w:color w:val="19456B" w:themeColor="background2"/>
      <w:sz w:val="20"/>
      <w:lang w:val="en-US"/>
    </w:rPr>
  </w:style>
  <w:style w:type="paragraph" w:styleId="ListParagraph">
    <w:name w:val="List Paragraph"/>
    <w:basedOn w:val="Normal"/>
    <w:uiPriority w:val="34"/>
    <w:qFormat/>
    <w:rsid w:val="001179A4"/>
    <w:pPr>
      <w:ind w:left="720"/>
      <w:contextualSpacing/>
    </w:pPr>
  </w:style>
  <w:style w:type="paragraph" w:styleId="List">
    <w:name w:val="List"/>
    <w:basedOn w:val="Normal"/>
    <w:uiPriority w:val="99"/>
    <w:semiHidden/>
    <w:rsid w:val="001179A4"/>
    <w:pPr>
      <w:numPr>
        <w:numId w:val="6"/>
      </w:numPr>
    </w:pPr>
  </w:style>
  <w:style w:type="paragraph" w:styleId="List2">
    <w:name w:val="List 2"/>
    <w:basedOn w:val="Normal"/>
    <w:uiPriority w:val="7"/>
    <w:rsid w:val="001179A4"/>
    <w:pPr>
      <w:numPr>
        <w:ilvl w:val="1"/>
        <w:numId w:val="6"/>
      </w:numPr>
      <w:spacing w:line="240" w:lineRule="atLeast"/>
    </w:pPr>
  </w:style>
  <w:style w:type="paragraph" w:styleId="ListBullet">
    <w:name w:val="List Bullet"/>
    <w:basedOn w:val="Normal"/>
    <w:uiPriority w:val="7"/>
    <w:rsid w:val="001179A4"/>
    <w:pPr>
      <w:numPr>
        <w:numId w:val="3"/>
      </w:numPr>
      <w:tabs>
        <w:tab w:val="clear" w:pos="360"/>
      </w:tabs>
      <w:ind w:left="284" w:hanging="284"/>
    </w:pPr>
  </w:style>
  <w:style w:type="paragraph" w:styleId="ListBullet2">
    <w:name w:val="List Bullet 2"/>
    <w:basedOn w:val="Normal"/>
    <w:uiPriority w:val="7"/>
    <w:rsid w:val="001179A4"/>
    <w:pPr>
      <w:numPr>
        <w:numId w:val="4"/>
      </w:numPr>
      <w:ind w:left="567" w:hanging="283"/>
    </w:pPr>
  </w:style>
  <w:style w:type="table" w:styleId="TableGrid">
    <w:name w:val="Table Grid"/>
    <w:basedOn w:val="TableNormal"/>
    <w:uiPriority w:val="39"/>
    <w:rsid w:val="0011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1179A4"/>
    <w:pPr>
      <w:pBdr>
        <w:left w:val="single" w:sz="4" w:space="15" w:color="2575AE" w:themeColor="accent1"/>
      </w:pBdr>
      <w:spacing w:after="120" w:line="240" w:lineRule="exact"/>
      <w:ind w:left="227" w:right="2268"/>
    </w:pPr>
    <w:rPr>
      <w:color w:val="2575AE" w:themeColor="accent1"/>
    </w:rPr>
  </w:style>
  <w:style w:type="paragraph" w:customStyle="1" w:styleId="GreenTextIndent">
    <w:name w:val="Green Text Indent"/>
    <w:uiPriority w:val="4"/>
    <w:qFormat/>
    <w:rsid w:val="001179A4"/>
    <w:pPr>
      <w:pBdr>
        <w:left w:val="single" w:sz="4" w:space="15" w:color="AFBD22" w:themeColor="text2"/>
      </w:pBdr>
      <w:spacing w:after="120" w:line="240" w:lineRule="exact"/>
      <w:ind w:left="227" w:right="2268"/>
    </w:pPr>
    <w:rPr>
      <w:color w:val="AFBD22" w:themeColor="text2"/>
    </w:rPr>
  </w:style>
  <w:style w:type="character" w:styleId="PlaceholderText">
    <w:name w:val="Placeholder Text"/>
    <w:basedOn w:val="DefaultParagraphFont"/>
    <w:uiPriority w:val="99"/>
    <w:semiHidden/>
    <w:rsid w:val="001179A4"/>
    <w:rPr>
      <w:color w:val="808080"/>
    </w:rPr>
  </w:style>
  <w:style w:type="table" w:customStyle="1" w:styleId="TableGridLight1">
    <w:name w:val="Table Grid Light1"/>
    <w:basedOn w:val="TableNormal"/>
    <w:uiPriority w:val="40"/>
    <w:rsid w:val="001179A4"/>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rsid w:val="001179A4"/>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1179A4"/>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1179A4"/>
    <w:pPr>
      <w:numPr>
        <w:ilvl w:val="2"/>
        <w:numId w:val="5"/>
      </w:numPr>
      <w:spacing w:before="240"/>
      <w:contextualSpacing/>
    </w:pPr>
    <w:rPr>
      <w:b/>
    </w:rPr>
  </w:style>
  <w:style w:type="paragraph" w:styleId="TOC2">
    <w:name w:val="toc 2"/>
    <w:basedOn w:val="Normal"/>
    <w:next w:val="Normal"/>
    <w:autoRedefine/>
    <w:uiPriority w:val="39"/>
    <w:unhideWhenUsed/>
    <w:rsid w:val="001179A4"/>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1179A4"/>
    <w:pPr>
      <w:spacing w:after="100"/>
      <w:ind w:left="400"/>
    </w:pPr>
  </w:style>
  <w:style w:type="paragraph" w:styleId="NoSpacing">
    <w:name w:val="No Spacing"/>
    <w:uiPriority w:val="1"/>
    <w:qFormat/>
    <w:rsid w:val="001179A4"/>
    <w:pPr>
      <w:spacing w:after="0" w:line="240" w:lineRule="auto"/>
    </w:pPr>
  </w:style>
  <w:style w:type="paragraph" w:customStyle="1" w:styleId="InformationPageNormal">
    <w:name w:val="Information Page Normal"/>
    <w:uiPriority w:val="1"/>
    <w:qFormat/>
    <w:rsid w:val="001179A4"/>
    <w:pPr>
      <w:ind w:right="-1418"/>
    </w:pPr>
  </w:style>
  <w:style w:type="paragraph" w:customStyle="1" w:styleId="ListNumbering">
    <w:name w:val="List Numbering"/>
    <w:basedOn w:val="ListBullet"/>
    <w:uiPriority w:val="6"/>
    <w:qFormat/>
    <w:rsid w:val="001179A4"/>
    <w:pPr>
      <w:numPr>
        <w:numId w:val="7"/>
      </w:numPr>
    </w:pPr>
  </w:style>
  <w:style w:type="paragraph" w:styleId="BalloonText">
    <w:name w:val="Balloon Text"/>
    <w:basedOn w:val="Normal"/>
    <w:link w:val="BalloonTextChar"/>
    <w:uiPriority w:val="99"/>
    <w:unhideWhenUsed/>
    <w:rsid w:val="0011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179A4"/>
    <w:rPr>
      <w:rFonts w:ascii="Tahoma" w:hAnsi="Tahoma" w:cs="Tahoma"/>
      <w:sz w:val="16"/>
      <w:szCs w:val="16"/>
    </w:rPr>
  </w:style>
  <w:style w:type="table" w:customStyle="1" w:styleId="GridTableLight1">
    <w:name w:val="Grid Table Light1"/>
    <w:basedOn w:val="TableNormal"/>
    <w:uiPriority w:val="40"/>
    <w:rsid w:val="001179A4"/>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1179A4"/>
    <w:pPr>
      <w:tabs>
        <w:tab w:val="left" w:pos="924"/>
      </w:tabs>
      <w:spacing w:before="60" w:after="60" w:line="260" w:lineRule="atLeast"/>
    </w:pPr>
    <w:rPr>
      <w:rFonts w:ascii="Whitney Condensed Book" w:eastAsia="Times New Roman" w:hAnsi="Whitney Condensed Book" w:cs="Times New Roman"/>
      <w:szCs w:val="24"/>
      <w:lang w:eastAsia="en-GB"/>
    </w:rPr>
  </w:style>
  <w:style w:type="character" w:customStyle="1" w:styleId="manualtabletextCharChar">
    <w:name w:val="manual table text Char Char"/>
    <w:link w:val="manualtabletext"/>
    <w:rsid w:val="001179A4"/>
    <w:rPr>
      <w:rFonts w:ascii="Whitney Condensed Book" w:eastAsia="Times New Roman" w:hAnsi="Whitney Condensed Book" w:cs="Times New Roman"/>
      <w:szCs w:val="24"/>
      <w:lang w:eastAsia="en-GB"/>
    </w:rPr>
  </w:style>
  <w:style w:type="paragraph" w:customStyle="1" w:styleId="Contactinfo">
    <w:name w:val="Contact info"/>
    <w:basedOn w:val="Normal"/>
    <w:semiHidden/>
    <w:locked/>
    <w:rsid w:val="001179A4"/>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1179A4"/>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1179A4"/>
    <w:pPr>
      <w:spacing w:after="0" w:line="240" w:lineRule="auto"/>
    </w:pPr>
  </w:style>
  <w:style w:type="character" w:customStyle="1" w:styleId="FootnoteTextChar">
    <w:name w:val="Footnote Text Char"/>
    <w:basedOn w:val="DefaultParagraphFont"/>
    <w:link w:val="FootnoteText"/>
    <w:uiPriority w:val="99"/>
    <w:semiHidden/>
    <w:rsid w:val="001179A4"/>
  </w:style>
  <w:style w:type="character" w:styleId="FootnoteReference">
    <w:name w:val="footnote reference"/>
    <w:basedOn w:val="DefaultParagraphFont"/>
    <w:uiPriority w:val="99"/>
    <w:semiHidden/>
    <w:unhideWhenUsed/>
    <w:rsid w:val="001179A4"/>
    <w:rPr>
      <w:vertAlign w:val="superscript"/>
    </w:rPr>
  </w:style>
  <w:style w:type="table" w:customStyle="1" w:styleId="ListTable3-Accent13">
    <w:name w:val="List Table 3 - Accent 13"/>
    <w:basedOn w:val="TableNormal"/>
    <w:uiPriority w:val="48"/>
    <w:rsid w:val="00DA7330"/>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TableGridLight2">
    <w:name w:val="Table Grid Light2"/>
    <w:basedOn w:val="TableNormal"/>
    <w:uiPriority w:val="40"/>
    <w:rsid w:val="00DA7330"/>
    <w:pPr>
      <w:spacing w:after="0" w:line="240" w:lineRule="auto"/>
    </w:pPr>
    <w:tblPr>
      <w:tblCellMar>
        <w:left w:w="0" w:type="dxa"/>
        <w:right w:w="0" w:type="dxa"/>
      </w:tblCellMar>
    </w:tblPr>
    <w:tcPr>
      <w:shd w:val="clear" w:color="auto" w:fill="auto"/>
    </w:tcPr>
  </w:style>
  <w:style w:type="character" w:customStyle="1" w:styleId="Heading4Char">
    <w:name w:val="Heading 4 Char"/>
    <w:basedOn w:val="DefaultParagraphFont"/>
    <w:link w:val="Heading4"/>
    <w:rsid w:val="0088268E"/>
    <w:rPr>
      <w:b/>
      <w:lang w:eastAsia="en-NZ"/>
    </w:rPr>
  </w:style>
  <w:style w:type="character" w:customStyle="1" w:styleId="Heading5Char">
    <w:name w:val="Heading 5 Char"/>
    <w:basedOn w:val="DefaultParagraphFont"/>
    <w:link w:val="Heading5"/>
    <w:rsid w:val="0088268E"/>
    <w:rPr>
      <w:b/>
      <w:bCs/>
      <w:i/>
      <w:iCs/>
      <w:sz w:val="26"/>
      <w:szCs w:val="26"/>
    </w:rPr>
  </w:style>
  <w:style w:type="character" w:customStyle="1" w:styleId="Heading6Char">
    <w:name w:val="Heading 6 Char"/>
    <w:basedOn w:val="DefaultParagraphFont"/>
    <w:link w:val="Heading6"/>
    <w:rsid w:val="0088268E"/>
    <w:rPr>
      <w:b/>
      <w:bCs/>
      <w:sz w:val="22"/>
      <w:szCs w:val="22"/>
    </w:rPr>
  </w:style>
  <w:style w:type="character" w:customStyle="1" w:styleId="Heading7Char">
    <w:name w:val="Heading 7 Char"/>
    <w:basedOn w:val="DefaultParagraphFont"/>
    <w:link w:val="Heading7"/>
    <w:rsid w:val="0088268E"/>
    <w:rPr>
      <w:b/>
      <w:color w:val="1F497D"/>
      <w:sz w:val="28"/>
    </w:rPr>
  </w:style>
  <w:style w:type="character" w:customStyle="1" w:styleId="Heading8Char">
    <w:name w:val="Heading 8 Char"/>
    <w:basedOn w:val="DefaultParagraphFont"/>
    <w:link w:val="Heading8"/>
    <w:rsid w:val="0088268E"/>
    <w:rPr>
      <w:i/>
      <w:iCs/>
    </w:rPr>
  </w:style>
  <w:style w:type="character" w:customStyle="1" w:styleId="Heading9Char">
    <w:name w:val="Heading 9 Char"/>
    <w:basedOn w:val="DefaultParagraphFont"/>
    <w:link w:val="Heading9"/>
    <w:rsid w:val="0088268E"/>
    <w:rPr>
      <w:rFonts w:ascii="Arial" w:hAnsi="Arial" w:cs="Arial"/>
      <w:sz w:val="22"/>
      <w:szCs w:val="22"/>
    </w:rPr>
  </w:style>
  <w:style w:type="numbering" w:customStyle="1" w:styleId="NoList1">
    <w:name w:val="No List1"/>
    <w:next w:val="NoList"/>
    <w:uiPriority w:val="99"/>
    <w:semiHidden/>
    <w:unhideWhenUsed/>
    <w:rsid w:val="0088268E"/>
  </w:style>
  <w:style w:type="table" w:customStyle="1" w:styleId="ListTable3-Accent111">
    <w:name w:val="List Table 3 - Accent 111"/>
    <w:basedOn w:val="TableNormal"/>
    <w:next w:val="ListTable3-Accent13"/>
    <w:uiPriority w:val="48"/>
    <w:rsid w:val="0088268E"/>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1">
    <w:name w:val="List Table 3 - Accent 121"/>
    <w:basedOn w:val="TableNormal"/>
    <w:uiPriority w:val="48"/>
    <w:rsid w:val="0088268E"/>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TableGrid1">
    <w:name w:val="Table Grid1"/>
    <w:basedOn w:val="TableNormal"/>
    <w:next w:val="TableGrid"/>
    <w:uiPriority w:val="39"/>
    <w:rsid w:val="0088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88268E"/>
    <w:pPr>
      <w:spacing w:after="0" w:line="240" w:lineRule="auto"/>
    </w:pPr>
    <w:tblPr>
      <w:tblCellMar>
        <w:left w:w="0" w:type="dxa"/>
        <w:right w:w="0" w:type="dxa"/>
      </w:tblCellMar>
    </w:tblPr>
    <w:tcPr>
      <w:shd w:val="clear" w:color="auto" w:fill="auto"/>
    </w:tcPr>
  </w:style>
  <w:style w:type="table" w:customStyle="1" w:styleId="GridTableLight11">
    <w:name w:val="Grid Table Light11"/>
    <w:basedOn w:val="TableNormal"/>
    <w:uiPriority w:val="40"/>
    <w:rsid w:val="0088268E"/>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3-Accent130">
    <w:name w:val="List Table 3 - Accent 130"/>
    <w:basedOn w:val="TableNormal"/>
    <w:next w:val="ListTable3-Accent13"/>
    <w:uiPriority w:val="48"/>
    <w:rsid w:val="0088268E"/>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TableGridLight20">
    <w:name w:val="Table Grid Light20"/>
    <w:basedOn w:val="TableNormal"/>
    <w:next w:val="TableGridLight2"/>
    <w:uiPriority w:val="40"/>
    <w:rsid w:val="0088268E"/>
    <w:pPr>
      <w:spacing w:after="0" w:line="240" w:lineRule="auto"/>
    </w:pPr>
    <w:tblPr>
      <w:tblCellMar>
        <w:left w:w="0" w:type="dxa"/>
        <w:right w:w="0" w:type="dxa"/>
      </w:tblCellMar>
    </w:tblPr>
    <w:tcPr>
      <w:shd w:val="clear" w:color="auto" w:fill="auto"/>
    </w:tcPr>
  </w:style>
  <w:style w:type="character" w:styleId="CommentReference">
    <w:name w:val="annotation reference"/>
    <w:basedOn w:val="DefaultParagraphFont"/>
    <w:uiPriority w:val="99"/>
    <w:unhideWhenUsed/>
    <w:rsid w:val="0088268E"/>
    <w:rPr>
      <w:sz w:val="16"/>
      <w:szCs w:val="16"/>
    </w:rPr>
  </w:style>
  <w:style w:type="paragraph" w:styleId="CommentText">
    <w:name w:val="annotation text"/>
    <w:basedOn w:val="Normal"/>
    <w:link w:val="CommentTextChar"/>
    <w:uiPriority w:val="99"/>
    <w:unhideWhenUsed/>
    <w:rsid w:val="0088268E"/>
  </w:style>
  <w:style w:type="character" w:customStyle="1" w:styleId="CommentTextChar">
    <w:name w:val="Comment Text Char"/>
    <w:basedOn w:val="DefaultParagraphFont"/>
    <w:link w:val="CommentText"/>
    <w:uiPriority w:val="99"/>
    <w:rsid w:val="0088268E"/>
  </w:style>
  <w:style w:type="paragraph" w:styleId="CommentSubject">
    <w:name w:val="annotation subject"/>
    <w:basedOn w:val="CommentText"/>
    <w:next w:val="CommentText"/>
    <w:link w:val="CommentSubjectChar"/>
    <w:uiPriority w:val="99"/>
    <w:unhideWhenUsed/>
    <w:rsid w:val="0088268E"/>
    <w:rPr>
      <w:b/>
      <w:bCs/>
    </w:rPr>
  </w:style>
  <w:style w:type="character" w:customStyle="1" w:styleId="CommentSubjectChar">
    <w:name w:val="Comment Subject Char"/>
    <w:basedOn w:val="CommentTextChar"/>
    <w:link w:val="CommentSubject"/>
    <w:uiPriority w:val="99"/>
    <w:rsid w:val="0088268E"/>
    <w:rPr>
      <w:b/>
      <w:bCs/>
    </w:rPr>
  </w:style>
  <w:style w:type="character" w:styleId="FollowedHyperlink">
    <w:name w:val="FollowedHyperlink"/>
    <w:basedOn w:val="DefaultParagraphFont"/>
    <w:uiPriority w:val="99"/>
    <w:semiHidden/>
    <w:unhideWhenUsed/>
    <w:rsid w:val="0088268E"/>
    <w:rPr>
      <w:color w:val="954F72" w:themeColor="followedHyperlink"/>
      <w:u w:val="single"/>
    </w:rPr>
  </w:style>
  <w:style w:type="paragraph" w:customStyle="1" w:styleId="msonormal0">
    <w:name w:val="msonormal"/>
    <w:basedOn w:val="Normal"/>
    <w:rsid w:val="0088268E"/>
    <w:pPr>
      <w:spacing w:before="100" w:beforeAutospacing="1" w:after="100" w:afterAutospacing="1"/>
    </w:pPr>
    <w:rPr>
      <w:rFonts w:ascii="Times New Roman" w:hAnsi="Times New Roman"/>
      <w:lang w:eastAsia="en-NZ"/>
    </w:rPr>
  </w:style>
  <w:style w:type="paragraph" w:customStyle="1" w:styleId="Normal-NZTA">
    <w:name w:val="Normal - NZTA"/>
    <w:basedOn w:val="Normal"/>
    <w:rsid w:val="0088268E"/>
    <w:pPr>
      <w:spacing w:before="80" w:after="80"/>
    </w:pPr>
  </w:style>
  <w:style w:type="paragraph" w:customStyle="1" w:styleId="List-Bullets">
    <w:name w:val="List - Bullets"/>
    <w:basedOn w:val="Normal"/>
    <w:rsid w:val="0088268E"/>
    <w:pPr>
      <w:numPr>
        <w:numId w:val="13"/>
      </w:numPr>
      <w:spacing w:line="280" w:lineRule="atLeast"/>
    </w:pPr>
  </w:style>
  <w:style w:type="paragraph" w:customStyle="1" w:styleId="List-Lettered">
    <w:name w:val="List - Lettered"/>
    <w:basedOn w:val="Normal"/>
    <w:rsid w:val="0088268E"/>
    <w:pPr>
      <w:tabs>
        <w:tab w:val="num" w:pos="926"/>
      </w:tabs>
      <w:spacing w:line="280" w:lineRule="atLeast"/>
      <w:ind w:left="926" w:hanging="360"/>
    </w:pPr>
    <w:rPr>
      <w:lang w:eastAsia="en-NZ"/>
    </w:rPr>
  </w:style>
  <w:style w:type="paragraph" w:customStyle="1" w:styleId="List-Numbered">
    <w:name w:val="List - Numbered"/>
    <w:basedOn w:val="Normal"/>
    <w:rsid w:val="0088268E"/>
    <w:pPr>
      <w:tabs>
        <w:tab w:val="num" w:pos="360"/>
        <w:tab w:val="left" w:pos="3402"/>
      </w:tabs>
      <w:spacing w:line="280" w:lineRule="atLeast"/>
      <w:ind w:left="360" w:hanging="360"/>
    </w:pPr>
    <w:rPr>
      <w:lang w:eastAsia="en-NZ"/>
    </w:rPr>
  </w:style>
  <w:style w:type="numbering" w:styleId="111111">
    <w:name w:val="Outline List 2"/>
    <w:basedOn w:val="NoList"/>
    <w:semiHidden/>
    <w:rsid w:val="0088268E"/>
    <w:pPr>
      <w:numPr>
        <w:numId w:val="14"/>
      </w:numPr>
    </w:pPr>
  </w:style>
  <w:style w:type="numbering" w:styleId="1ai">
    <w:name w:val="Outline List 1"/>
    <w:basedOn w:val="NoList"/>
    <w:semiHidden/>
    <w:rsid w:val="0088268E"/>
    <w:pPr>
      <w:numPr>
        <w:numId w:val="15"/>
      </w:numPr>
    </w:pPr>
  </w:style>
  <w:style w:type="numbering" w:styleId="ArticleSection">
    <w:name w:val="Outline List 3"/>
    <w:basedOn w:val="NoList"/>
    <w:semiHidden/>
    <w:rsid w:val="0088268E"/>
    <w:pPr>
      <w:numPr>
        <w:numId w:val="16"/>
      </w:numPr>
    </w:pPr>
  </w:style>
  <w:style w:type="paragraph" w:styleId="BlockText">
    <w:name w:val="Block Text"/>
    <w:basedOn w:val="Normal"/>
    <w:semiHidden/>
    <w:rsid w:val="0088268E"/>
    <w:pPr>
      <w:ind w:left="1440" w:right="1440"/>
    </w:pPr>
  </w:style>
  <w:style w:type="paragraph" w:styleId="BodyText">
    <w:name w:val="Body Text"/>
    <w:basedOn w:val="Normal"/>
    <w:link w:val="BodyTextChar"/>
    <w:semiHidden/>
    <w:rsid w:val="0088268E"/>
  </w:style>
  <w:style w:type="character" w:customStyle="1" w:styleId="BodyTextChar">
    <w:name w:val="Body Text Char"/>
    <w:basedOn w:val="DefaultParagraphFont"/>
    <w:link w:val="BodyText"/>
    <w:semiHidden/>
    <w:rsid w:val="0088268E"/>
  </w:style>
  <w:style w:type="paragraph" w:styleId="BodyText2">
    <w:name w:val="Body Text 2"/>
    <w:basedOn w:val="Normal"/>
    <w:link w:val="BodyText2Char"/>
    <w:semiHidden/>
    <w:rsid w:val="0088268E"/>
    <w:pPr>
      <w:spacing w:line="480" w:lineRule="auto"/>
    </w:pPr>
  </w:style>
  <w:style w:type="character" w:customStyle="1" w:styleId="BodyText2Char">
    <w:name w:val="Body Text 2 Char"/>
    <w:basedOn w:val="DefaultParagraphFont"/>
    <w:link w:val="BodyText2"/>
    <w:semiHidden/>
    <w:rsid w:val="0088268E"/>
  </w:style>
  <w:style w:type="paragraph" w:styleId="BodyText3">
    <w:name w:val="Body Text 3"/>
    <w:basedOn w:val="Normal"/>
    <w:link w:val="BodyText3Char"/>
    <w:semiHidden/>
    <w:rsid w:val="0088268E"/>
    <w:rPr>
      <w:sz w:val="16"/>
      <w:szCs w:val="16"/>
    </w:rPr>
  </w:style>
  <w:style w:type="character" w:customStyle="1" w:styleId="BodyText3Char">
    <w:name w:val="Body Text 3 Char"/>
    <w:basedOn w:val="DefaultParagraphFont"/>
    <w:link w:val="BodyText3"/>
    <w:semiHidden/>
    <w:rsid w:val="0088268E"/>
    <w:rPr>
      <w:sz w:val="16"/>
      <w:szCs w:val="16"/>
    </w:rPr>
  </w:style>
  <w:style w:type="paragraph" w:styleId="BodyTextFirstIndent">
    <w:name w:val="Body Text First Indent"/>
    <w:basedOn w:val="BodyText"/>
    <w:link w:val="BodyTextFirstIndentChar"/>
    <w:semiHidden/>
    <w:rsid w:val="0088268E"/>
    <w:pPr>
      <w:ind w:firstLine="210"/>
    </w:pPr>
  </w:style>
  <w:style w:type="character" w:customStyle="1" w:styleId="BodyTextFirstIndentChar">
    <w:name w:val="Body Text First Indent Char"/>
    <w:basedOn w:val="BodyTextChar"/>
    <w:link w:val="BodyTextFirstIndent"/>
    <w:semiHidden/>
    <w:rsid w:val="0088268E"/>
  </w:style>
  <w:style w:type="paragraph" w:styleId="BodyTextIndent">
    <w:name w:val="Body Text Indent"/>
    <w:basedOn w:val="Normal"/>
    <w:link w:val="BodyTextIndentChar"/>
    <w:semiHidden/>
    <w:rsid w:val="0088268E"/>
    <w:pPr>
      <w:ind w:left="283"/>
    </w:pPr>
  </w:style>
  <w:style w:type="character" w:customStyle="1" w:styleId="BodyTextIndentChar">
    <w:name w:val="Body Text Indent Char"/>
    <w:basedOn w:val="DefaultParagraphFont"/>
    <w:link w:val="BodyTextIndent"/>
    <w:semiHidden/>
    <w:rsid w:val="0088268E"/>
  </w:style>
  <w:style w:type="paragraph" w:styleId="BodyTextFirstIndent2">
    <w:name w:val="Body Text First Indent 2"/>
    <w:basedOn w:val="BodyTextIndent"/>
    <w:link w:val="BodyTextFirstIndent2Char"/>
    <w:semiHidden/>
    <w:rsid w:val="0088268E"/>
    <w:pPr>
      <w:ind w:firstLine="210"/>
    </w:pPr>
  </w:style>
  <w:style w:type="character" w:customStyle="1" w:styleId="BodyTextFirstIndent2Char">
    <w:name w:val="Body Text First Indent 2 Char"/>
    <w:basedOn w:val="BodyTextIndentChar"/>
    <w:link w:val="BodyTextFirstIndent2"/>
    <w:semiHidden/>
    <w:rsid w:val="0088268E"/>
  </w:style>
  <w:style w:type="paragraph" w:styleId="BodyTextIndent2">
    <w:name w:val="Body Text Indent 2"/>
    <w:basedOn w:val="Normal"/>
    <w:link w:val="BodyTextIndent2Char"/>
    <w:semiHidden/>
    <w:rsid w:val="0088268E"/>
    <w:pPr>
      <w:spacing w:line="480" w:lineRule="auto"/>
      <w:ind w:left="283"/>
    </w:pPr>
  </w:style>
  <w:style w:type="character" w:customStyle="1" w:styleId="BodyTextIndent2Char">
    <w:name w:val="Body Text Indent 2 Char"/>
    <w:basedOn w:val="DefaultParagraphFont"/>
    <w:link w:val="BodyTextIndent2"/>
    <w:semiHidden/>
    <w:rsid w:val="0088268E"/>
  </w:style>
  <w:style w:type="paragraph" w:styleId="BodyTextIndent3">
    <w:name w:val="Body Text Indent 3"/>
    <w:basedOn w:val="Normal"/>
    <w:link w:val="BodyTextIndent3Char"/>
    <w:semiHidden/>
    <w:rsid w:val="0088268E"/>
    <w:pPr>
      <w:ind w:left="283"/>
    </w:pPr>
    <w:rPr>
      <w:sz w:val="16"/>
      <w:szCs w:val="16"/>
    </w:rPr>
  </w:style>
  <w:style w:type="character" w:customStyle="1" w:styleId="BodyTextIndent3Char">
    <w:name w:val="Body Text Indent 3 Char"/>
    <w:basedOn w:val="DefaultParagraphFont"/>
    <w:link w:val="BodyTextIndent3"/>
    <w:semiHidden/>
    <w:rsid w:val="0088268E"/>
    <w:rPr>
      <w:sz w:val="16"/>
      <w:szCs w:val="16"/>
    </w:rPr>
  </w:style>
  <w:style w:type="paragraph" w:styleId="Closing">
    <w:name w:val="Closing"/>
    <w:basedOn w:val="Normal"/>
    <w:link w:val="ClosingChar"/>
    <w:semiHidden/>
    <w:rsid w:val="0088268E"/>
    <w:pPr>
      <w:ind w:left="4252"/>
    </w:pPr>
  </w:style>
  <w:style w:type="character" w:customStyle="1" w:styleId="ClosingChar">
    <w:name w:val="Closing Char"/>
    <w:basedOn w:val="DefaultParagraphFont"/>
    <w:link w:val="Closing"/>
    <w:semiHidden/>
    <w:rsid w:val="0088268E"/>
  </w:style>
  <w:style w:type="paragraph" w:styleId="Date">
    <w:name w:val="Date"/>
    <w:basedOn w:val="Normal"/>
    <w:next w:val="Normal"/>
    <w:link w:val="DateChar"/>
    <w:semiHidden/>
    <w:rsid w:val="0088268E"/>
  </w:style>
  <w:style w:type="character" w:customStyle="1" w:styleId="DateChar">
    <w:name w:val="Date Char"/>
    <w:basedOn w:val="DefaultParagraphFont"/>
    <w:link w:val="Date"/>
    <w:semiHidden/>
    <w:rsid w:val="0088268E"/>
  </w:style>
  <w:style w:type="paragraph" w:styleId="E-mailSignature">
    <w:name w:val="E-mail Signature"/>
    <w:basedOn w:val="Normal"/>
    <w:link w:val="E-mailSignatureChar"/>
    <w:semiHidden/>
    <w:rsid w:val="0088268E"/>
  </w:style>
  <w:style w:type="character" w:customStyle="1" w:styleId="E-mailSignatureChar">
    <w:name w:val="E-mail Signature Char"/>
    <w:basedOn w:val="DefaultParagraphFont"/>
    <w:link w:val="E-mailSignature"/>
    <w:semiHidden/>
    <w:rsid w:val="0088268E"/>
  </w:style>
  <w:style w:type="character" w:styleId="Emphasis">
    <w:name w:val="Emphasis"/>
    <w:qFormat/>
    <w:rsid w:val="0088268E"/>
    <w:rPr>
      <w:i/>
      <w:iCs/>
    </w:rPr>
  </w:style>
  <w:style w:type="paragraph" w:styleId="EnvelopeAddress">
    <w:name w:val="envelope address"/>
    <w:basedOn w:val="Normal"/>
    <w:semiHidden/>
    <w:rsid w:val="0088268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8268E"/>
    <w:rPr>
      <w:rFonts w:ascii="Arial" w:hAnsi="Arial" w:cs="Arial"/>
    </w:rPr>
  </w:style>
  <w:style w:type="character" w:styleId="HTMLAcronym">
    <w:name w:val="HTML Acronym"/>
    <w:basedOn w:val="DefaultParagraphFont"/>
    <w:semiHidden/>
    <w:rsid w:val="0088268E"/>
  </w:style>
  <w:style w:type="paragraph" w:styleId="HTMLAddress">
    <w:name w:val="HTML Address"/>
    <w:basedOn w:val="Normal"/>
    <w:link w:val="HTMLAddressChar"/>
    <w:semiHidden/>
    <w:rsid w:val="0088268E"/>
    <w:rPr>
      <w:i/>
      <w:iCs/>
    </w:rPr>
  </w:style>
  <w:style w:type="character" w:customStyle="1" w:styleId="HTMLAddressChar">
    <w:name w:val="HTML Address Char"/>
    <w:basedOn w:val="DefaultParagraphFont"/>
    <w:link w:val="HTMLAddress"/>
    <w:semiHidden/>
    <w:rsid w:val="0088268E"/>
    <w:rPr>
      <w:i/>
      <w:iCs/>
    </w:rPr>
  </w:style>
  <w:style w:type="character" w:styleId="HTMLCite">
    <w:name w:val="HTML Cite"/>
    <w:semiHidden/>
    <w:rsid w:val="0088268E"/>
    <w:rPr>
      <w:i/>
      <w:iCs/>
    </w:rPr>
  </w:style>
  <w:style w:type="character" w:styleId="HTMLCode">
    <w:name w:val="HTML Code"/>
    <w:semiHidden/>
    <w:rsid w:val="0088268E"/>
    <w:rPr>
      <w:rFonts w:ascii="Courier New" w:hAnsi="Courier New" w:cs="Courier New"/>
      <w:sz w:val="20"/>
      <w:szCs w:val="20"/>
    </w:rPr>
  </w:style>
  <w:style w:type="character" w:styleId="HTMLDefinition">
    <w:name w:val="HTML Definition"/>
    <w:semiHidden/>
    <w:rsid w:val="0088268E"/>
    <w:rPr>
      <w:i/>
      <w:iCs/>
    </w:rPr>
  </w:style>
  <w:style w:type="character" w:styleId="HTMLKeyboard">
    <w:name w:val="HTML Keyboard"/>
    <w:semiHidden/>
    <w:rsid w:val="0088268E"/>
    <w:rPr>
      <w:rFonts w:ascii="Courier New" w:hAnsi="Courier New" w:cs="Courier New"/>
      <w:sz w:val="20"/>
      <w:szCs w:val="20"/>
    </w:rPr>
  </w:style>
  <w:style w:type="paragraph" w:styleId="HTMLPreformatted">
    <w:name w:val="HTML Preformatted"/>
    <w:basedOn w:val="Normal"/>
    <w:link w:val="HTMLPreformattedChar"/>
    <w:semiHidden/>
    <w:rsid w:val="0088268E"/>
    <w:rPr>
      <w:rFonts w:ascii="Courier New" w:hAnsi="Courier New" w:cs="Courier New"/>
    </w:rPr>
  </w:style>
  <w:style w:type="character" w:customStyle="1" w:styleId="HTMLPreformattedChar">
    <w:name w:val="HTML Preformatted Char"/>
    <w:basedOn w:val="DefaultParagraphFont"/>
    <w:link w:val="HTMLPreformatted"/>
    <w:semiHidden/>
    <w:rsid w:val="0088268E"/>
    <w:rPr>
      <w:rFonts w:ascii="Courier New" w:hAnsi="Courier New" w:cs="Courier New"/>
    </w:rPr>
  </w:style>
  <w:style w:type="character" w:styleId="HTMLSample">
    <w:name w:val="HTML Sample"/>
    <w:semiHidden/>
    <w:rsid w:val="0088268E"/>
    <w:rPr>
      <w:rFonts w:ascii="Courier New" w:hAnsi="Courier New" w:cs="Courier New"/>
    </w:rPr>
  </w:style>
  <w:style w:type="character" w:styleId="HTMLTypewriter">
    <w:name w:val="HTML Typewriter"/>
    <w:semiHidden/>
    <w:rsid w:val="0088268E"/>
    <w:rPr>
      <w:rFonts w:ascii="Courier New" w:hAnsi="Courier New" w:cs="Courier New"/>
      <w:sz w:val="20"/>
      <w:szCs w:val="20"/>
    </w:rPr>
  </w:style>
  <w:style w:type="character" w:styleId="HTMLVariable">
    <w:name w:val="HTML Variable"/>
    <w:semiHidden/>
    <w:rsid w:val="0088268E"/>
    <w:rPr>
      <w:i/>
      <w:iCs/>
    </w:rPr>
  </w:style>
  <w:style w:type="character" w:styleId="LineNumber">
    <w:name w:val="line number"/>
    <w:basedOn w:val="DefaultParagraphFont"/>
    <w:semiHidden/>
    <w:rsid w:val="0088268E"/>
  </w:style>
  <w:style w:type="paragraph" w:styleId="List3">
    <w:name w:val="List 3"/>
    <w:basedOn w:val="Normal"/>
    <w:semiHidden/>
    <w:rsid w:val="0088268E"/>
    <w:pPr>
      <w:ind w:left="849" w:hanging="283"/>
    </w:pPr>
  </w:style>
  <w:style w:type="paragraph" w:styleId="List4">
    <w:name w:val="List 4"/>
    <w:basedOn w:val="Normal"/>
    <w:semiHidden/>
    <w:rsid w:val="0088268E"/>
    <w:pPr>
      <w:ind w:left="1132" w:hanging="283"/>
    </w:pPr>
  </w:style>
  <w:style w:type="paragraph" w:styleId="ListBullet3">
    <w:name w:val="List Bullet 3"/>
    <w:basedOn w:val="Normal"/>
    <w:semiHidden/>
    <w:rsid w:val="0088268E"/>
    <w:pPr>
      <w:numPr>
        <w:numId w:val="8"/>
      </w:numPr>
    </w:pPr>
  </w:style>
  <w:style w:type="paragraph" w:styleId="ListBullet4">
    <w:name w:val="List Bullet 4"/>
    <w:basedOn w:val="Normal"/>
    <w:semiHidden/>
    <w:rsid w:val="0088268E"/>
    <w:pPr>
      <w:numPr>
        <w:numId w:val="9"/>
      </w:numPr>
    </w:pPr>
  </w:style>
  <w:style w:type="paragraph" w:styleId="ListBullet5">
    <w:name w:val="List Bullet 5"/>
    <w:basedOn w:val="Normal"/>
    <w:semiHidden/>
    <w:rsid w:val="0088268E"/>
    <w:pPr>
      <w:numPr>
        <w:numId w:val="10"/>
      </w:numPr>
    </w:pPr>
  </w:style>
  <w:style w:type="paragraph" w:styleId="ListContinue">
    <w:name w:val="List Continue"/>
    <w:basedOn w:val="Normal"/>
    <w:semiHidden/>
    <w:rsid w:val="0088268E"/>
    <w:pPr>
      <w:ind w:left="283"/>
    </w:pPr>
  </w:style>
  <w:style w:type="paragraph" w:styleId="ListContinue2">
    <w:name w:val="List Continue 2"/>
    <w:basedOn w:val="Normal"/>
    <w:semiHidden/>
    <w:rsid w:val="0088268E"/>
    <w:pPr>
      <w:ind w:left="566"/>
    </w:pPr>
  </w:style>
  <w:style w:type="paragraph" w:styleId="ListContinue3">
    <w:name w:val="List Continue 3"/>
    <w:basedOn w:val="Normal"/>
    <w:semiHidden/>
    <w:rsid w:val="0088268E"/>
    <w:pPr>
      <w:ind w:left="849"/>
    </w:pPr>
  </w:style>
  <w:style w:type="paragraph" w:styleId="ListContinue4">
    <w:name w:val="List Continue 4"/>
    <w:basedOn w:val="Normal"/>
    <w:semiHidden/>
    <w:rsid w:val="0088268E"/>
    <w:pPr>
      <w:ind w:left="1132"/>
    </w:pPr>
  </w:style>
  <w:style w:type="paragraph" w:styleId="ListContinue5">
    <w:name w:val="List Continue 5"/>
    <w:basedOn w:val="Normal"/>
    <w:semiHidden/>
    <w:rsid w:val="0088268E"/>
    <w:pPr>
      <w:ind w:left="1415"/>
    </w:pPr>
  </w:style>
  <w:style w:type="paragraph" w:styleId="ListNumber4">
    <w:name w:val="List Number 4"/>
    <w:basedOn w:val="Normal"/>
    <w:semiHidden/>
    <w:rsid w:val="0088268E"/>
    <w:pPr>
      <w:numPr>
        <w:numId w:val="11"/>
      </w:numPr>
    </w:pPr>
  </w:style>
  <w:style w:type="paragraph" w:styleId="ListNumber5">
    <w:name w:val="List Number 5"/>
    <w:basedOn w:val="Normal"/>
    <w:semiHidden/>
    <w:rsid w:val="0088268E"/>
    <w:pPr>
      <w:numPr>
        <w:numId w:val="12"/>
      </w:numPr>
    </w:pPr>
  </w:style>
  <w:style w:type="paragraph" w:styleId="MessageHeader">
    <w:name w:val="Message Header"/>
    <w:basedOn w:val="Normal"/>
    <w:link w:val="MessageHeaderChar"/>
    <w:semiHidden/>
    <w:rsid w:val="008826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88268E"/>
    <w:rPr>
      <w:rFonts w:ascii="Arial" w:hAnsi="Arial" w:cs="Arial"/>
      <w:shd w:val="pct20" w:color="auto" w:fill="auto"/>
    </w:rPr>
  </w:style>
  <w:style w:type="paragraph" w:styleId="NormalWeb">
    <w:name w:val="Normal (Web)"/>
    <w:basedOn w:val="Normal"/>
    <w:uiPriority w:val="99"/>
    <w:semiHidden/>
    <w:rsid w:val="0088268E"/>
  </w:style>
  <w:style w:type="paragraph" w:styleId="NormalIndent">
    <w:name w:val="Normal Indent"/>
    <w:basedOn w:val="Normal"/>
    <w:semiHidden/>
    <w:rsid w:val="0088268E"/>
    <w:pPr>
      <w:ind w:left="720"/>
    </w:pPr>
  </w:style>
  <w:style w:type="paragraph" w:styleId="NoteHeading">
    <w:name w:val="Note Heading"/>
    <w:basedOn w:val="Normal"/>
    <w:next w:val="Normal"/>
    <w:link w:val="NoteHeadingChar"/>
    <w:semiHidden/>
    <w:rsid w:val="0088268E"/>
  </w:style>
  <w:style w:type="character" w:customStyle="1" w:styleId="NoteHeadingChar">
    <w:name w:val="Note Heading Char"/>
    <w:basedOn w:val="DefaultParagraphFont"/>
    <w:link w:val="NoteHeading"/>
    <w:semiHidden/>
    <w:rsid w:val="0088268E"/>
  </w:style>
  <w:style w:type="character" w:styleId="PageNumber">
    <w:name w:val="page number"/>
    <w:basedOn w:val="DefaultParagraphFont"/>
    <w:semiHidden/>
    <w:rsid w:val="0088268E"/>
  </w:style>
  <w:style w:type="paragraph" w:styleId="PlainText">
    <w:name w:val="Plain Text"/>
    <w:basedOn w:val="Normal"/>
    <w:link w:val="PlainTextChar"/>
    <w:semiHidden/>
    <w:rsid w:val="0088268E"/>
    <w:rPr>
      <w:rFonts w:ascii="Courier New" w:hAnsi="Courier New" w:cs="Courier New"/>
    </w:rPr>
  </w:style>
  <w:style w:type="character" w:customStyle="1" w:styleId="PlainTextChar">
    <w:name w:val="Plain Text Char"/>
    <w:basedOn w:val="DefaultParagraphFont"/>
    <w:link w:val="PlainText"/>
    <w:semiHidden/>
    <w:rsid w:val="0088268E"/>
    <w:rPr>
      <w:rFonts w:ascii="Courier New" w:hAnsi="Courier New" w:cs="Courier New"/>
    </w:rPr>
  </w:style>
  <w:style w:type="paragraph" w:styleId="Salutation">
    <w:name w:val="Salutation"/>
    <w:basedOn w:val="Normal"/>
    <w:next w:val="Normal"/>
    <w:link w:val="SalutationChar"/>
    <w:semiHidden/>
    <w:rsid w:val="0088268E"/>
  </w:style>
  <w:style w:type="character" w:customStyle="1" w:styleId="SalutationChar">
    <w:name w:val="Salutation Char"/>
    <w:basedOn w:val="DefaultParagraphFont"/>
    <w:link w:val="Salutation"/>
    <w:semiHidden/>
    <w:rsid w:val="0088268E"/>
  </w:style>
  <w:style w:type="paragraph" w:styleId="Signature">
    <w:name w:val="Signature"/>
    <w:basedOn w:val="Normal"/>
    <w:link w:val="SignatureChar"/>
    <w:semiHidden/>
    <w:rsid w:val="0088268E"/>
    <w:pPr>
      <w:ind w:left="4252"/>
    </w:pPr>
  </w:style>
  <w:style w:type="character" w:customStyle="1" w:styleId="SignatureChar">
    <w:name w:val="Signature Char"/>
    <w:basedOn w:val="DefaultParagraphFont"/>
    <w:link w:val="Signature"/>
    <w:semiHidden/>
    <w:rsid w:val="0088268E"/>
  </w:style>
  <w:style w:type="character" w:styleId="Strong">
    <w:name w:val="Strong"/>
    <w:qFormat/>
    <w:rsid w:val="0088268E"/>
    <w:rPr>
      <w:b/>
      <w:bCs/>
    </w:rPr>
  </w:style>
  <w:style w:type="table" w:styleId="Table3Deffects1">
    <w:name w:val="Table 3D effects 1"/>
    <w:basedOn w:val="TableNormal"/>
    <w:semiHidden/>
    <w:rsid w:val="0088268E"/>
    <w:pPr>
      <w:spacing w:after="0" w:line="240" w:lineRule="auto"/>
    </w:pPr>
    <w:rPr>
      <w:rFonts w:ascii="Times New Roman" w:eastAsia="Times New Roman" w:hAnsi="Times New Roman" w:cs="Times New Roman"/>
      <w:lang w:eastAsia="en-N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268E"/>
    <w:pPr>
      <w:spacing w:after="0" w:line="240" w:lineRule="auto"/>
    </w:pPr>
    <w:rPr>
      <w:rFonts w:ascii="Times New Roman" w:eastAsia="Times New Roman" w:hAnsi="Times New Roman" w:cs="Times New Roman"/>
      <w:lang w:eastAsia="en-NZ"/>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268E"/>
    <w:pPr>
      <w:spacing w:after="0" w:line="240" w:lineRule="auto"/>
    </w:pPr>
    <w:rPr>
      <w:rFonts w:ascii="Times New Roman" w:eastAsia="Times New Roman" w:hAnsi="Times New Roman" w:cs="Times New Roman"/>
      <w:lang w:eastAsia="en-N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8268E"/>
    <w:pPr>
      <w:spacing w:after="0" w:line="240" w:lineRule="auto"/>
    </w:pPr>
    <w:rPr>
      <w:rFonts w:ascii="Times New Roman" w:eastAsia="Times New Roman" w:hAnsi="Times New Roman" w:cs="Times New Roman"/>
      <w:lang w:eastAsia="en-N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8268E"/>
    <w:pPr>
      <w:spacing w:after="0" w:line="240" w:lineRule="auto"/>
    </w:pPr>
    <w:rPr>
      <w:rFonts w:ascii="Times New Roman" w:eastAsia="Times New Roman" w:hAnsi="Times New Roman" w:cs="Times New Roman"/>
      <w:lang w:eastAsia="en-N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8268E"/>
    <w:pPr>
      <w:spacing w:after="0" w:line="240" w:lineRule="auto"/>
    </w:pPr>
    <w:rPr>
      <w:rFonts w:ascii="Times New Roman" w:eastAsia="Times New Roman" w:hAnsi="Times New Roman" w:cs="Times New Roman"/>
      <w:color w:val="000080"/>
      <w:lang w:eastAsia="en-N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8268E"/>
    <w:pPr>
      <w:spacing w:after="0" w:line="240" w:lineRule="auto"/>
    </w:pPr>
    <w:rPr>
      <w:rFonts w:ascii="Times New Roman" w:eastAsia="Times New Roman" w:hAnsi="Times New Roman" w:cs="Times New Roman"/>
      <w:lang w:eastAsia="en-NZ"/>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8268E"/>
    <w:pPr>
      <w:spacing w:after="0" w:line="240" w:lineRule="auto"/>
    </w:pPr>
    <w:rPr>
      <w:rFonts w:ascii="Times New Roman" w:eastAsia="Times New Roman" w:hAnsi="Times New Roman" w:cs="Times New Roman"/>
      <w:color w:val="FFFFFF"/>
      <w:lang w:eastAsia="en-N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8268E"/>
    <w:pPr>
      <w:spacing w:after="0" w:line="240" w:lineRule="auto"/>
    </w:pPr>
    <w:rPr>
      <w:rFonts w:ascii="Times New Roman" w:eastAsia="Times New Roman" w:hAnsi="Times New Roman" w:cs="Times New Roman"/>
      <w:lang w:eastAsia="en-N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8268E"/>
    <w:pPr>
      <w:spacing w:after="0" w:line="240" w:lineRule="auto"/>
    </w:pPr>
    <w:rPr>
      <w:rFonts w:ascii="Times New Roman" w:eastAsia="Times New Roman" w:hAnsi="Times New Roman" w:cs="Times New Roman"/>
      <w:lang w:eastAsia="en-N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8268E"/>
    <w:pPr>
      <w:spacing w:after="0" w:line="240" w:lineRule="auto"/>
    </w:pPr>
    <w:rPr>
      <w:rFonts w:ascii="Times New Roman" w:eastAsia="Times New Roman" w:hAnsi="Times New Roman" w:cs="Times New Roman"/>
      <w:b/>
      <w:bCs/>
      <w:lang w:eastAsia="en-N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8268E"/>
    <w:pPr>
      <w:spacing w:after="0" w:line="240" w:lineRule="auto"/>
    </w:pPr>
    <w:rPr>
      <w:rFonts w:ascii="Times New Roman" w:eastAsia="Times New Roman" w:hAnsi="Times New Roman" w:cs="Times New Roman"/>
      <w:b/>
      <w:bCs/>
      <w:lang w:eastAsia="en-N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8268E"/>
    <w:pPr>
      <w:spacing w:after="0" w:line="240" w:lineRule="auto"/>
    </w:pPr>
    <w:rPr>
      <w:rFonts w:ascii="Times New Roman" w:eastAsia="Times New Roman" w:hAnsi="Times New Roman" w:cs="Times New Roman"/>
      <w:b/>
      <w:bCs/>
      <w:lang w:eastAsia="en-N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8268E"/>
    <w:pPr>
      <w:spacing w:after="0" w:line="240" w:lineRule="auto"/>
    </w:pPr>
    <w:rPr>
      <w:rFonts w:ascii="Times New Roman" w:eastAsia="Times New Roman" w:hAnsi="Times New Roman" w:cs="Times New Roman"/>
      <w:lang w:eastAsia="en-N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8268E"/>
    <w:pPr>
      <w:spacing w:after="0" w:line="240" w:lineRule="auto"/>
    </w:pPr>
    <w:rPr>
      <w:rFonts w:ascii="Times New Roman" w:eastAsia="Times New Roman" w:hAnsi="Times New Roman" w:cs="Times New Roman"/>
      <w:lang w:eastAsia="en-N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8268E"/>
    <w:pPr>
      <w:spacing w:after="0" w:line="240" w:lineRule="auto"/>
    </w:pPr>
    <w:rPr>
      <w:rFonts w:ascii="Times New Roman" w:eastAsia="Times New Roman" w:hAnsi="Times New Roman" w:cs="Times New Roman"/>
      <w:lang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8268E"/>
    <w:pPr>
      <w:spacing w:after="0" w:line="240" w:lineRule="auto"/>
    </w:pPr>
    <w:rPr>
      <w:rFonts w:ascii="Times New Roman" w:eastAsia="Times New Roman" w:hAnsi="Times New Roman" w:cs="Times New Roman"/>
      <w:lang w:eastAsia="en-N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88268E"/>
    <w:pPr>
      <w:spacing w:after="0" w:line="240" w:lineRule="auto"/>
    </w:pPr>
    <w:rPr>
      <w:rFonts w:ascii="Times New Roman" w:eastAsia="Times New Roman" w:hAnsi="Times New Roman" w:cs="Times New Roman"/>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8268E"/>
    <w:pPr>
      <w:spacing w:after="0" w:line="240" w:lineRule="auto"/>
    </w:pPr>
    <w:rPr>
      <w:rFonts w:ascii="Times New Roman" w:eastAsia="Times New Roman" w:hAnsi="Times New Roman" w:cs="Times New Roman"/>
      <w:lang w:eastAsia="en-NZ"/>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8268E"/>
    <w:pPr>
      <w:spacing w:after="0" w:line="240" w:lineRule="auto"/>
    </w:pPr>
    <w:rPr>
      <w:rFonts w:ascii="Times New Roman" w:eastAsia="Times New Roman" w:hAnsi="Times New Roman" w:cs="Times New Roman"/>
      <w:lang w:eastAsia="en-NZ"/>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8268E"/>
    <w:pPr>
      <w:spacing w:after="0" w:line="240" w:lineRule="auto"/>
    </w:pPr>
    <w:rPr>
      <w:rFonts w:ascii="Times New Roman" w:eastAsia="Times New Roman" w:hAnsi="Times New Roman" w:cs="Times New Roman"/>
      <w:lang w:eastAsia="en-NZ"/>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8268E"/>
    <w:pPr>
      <w:spacing w:after="0" w:line="240" w:lineRule="auto"/>
    </w:pPr>
    <w:rPr>
      <w:rFonts w:ascii="Times New Roman" w:eastAsia="Times New Roman" w:hAnsi="Times New Roman" w:cs="Times New Roman"/>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8268E"/>
    <w:pPr>
      <w:spacing w:after="0" w:line="240" w:lineRule="auto"/>
    </w:pPr>
    <w:rPr>
      <w:rFonts w:ascii="Times New Roman" w:eastAsia="Times New Roman" w:hAnsi="Times New Roman" w:cs="Times New Roman"/>
      <w:lang w:eastAsia="en-NZ"/>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8268E"/>
    <w:pPr>
      <w:spacing w:after="0" w:line="240" w:lineRule="auto"/>
    </w:pPr>
    <w:rPr>
      <w:rFonts w:ascii="Times New Roman" w:eastAsia="Times New Roman" w:hAnsi="Times New Roman" w:cs="Times New Roman"/>
      <w:b/>
      <w:bCs/>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8268E"/>
    <w:pPr>
      <w:spacing w:after="0" w:line="240" w:lineRule="auto"/>
    </w:pPr>
    <w:rPr>
      <w:rFonts w:ascii="Times New Roman" w:eastAsia="Times New Roman" w:hAnsi="Times New Roman" w:cs="Times New Roman"/>
      <w:lang w:eastAsia="en-N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8268E"/>
    <w:pPr>
      <w:spacing w:after="0" w:line="240" w:lineRule="auto"/>
    </w:pPr>
    <w:rPr>
      <w:rFonts w:ascii="Times New Roman" w:eastAsia="Times New Roman" w:hAnsi="Times New Roman" w:cs="Times New Roman"/>
      <w:lang w:eastAsia="en-N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8268E"/>
    <w:pPr>
      <w:spacing w:after="0" w:line="240" w:lineRule="auto"/>
    </w:pPr>
    <w:rPr>
      <w:rFonts w:ascii="Times New Roman" w:eastAsia="Times New Roman" w:hAnsi="Times New Roman" w:cs="Times New Roman"/>
      <w:lang w:eastAsia="en-NZ"/>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8268E"/>
    <w:pPr>
      <w:spacing w:after="0" w:line="240" w:lineRule="auto"/>
    </w:pPr>
    <w:rPr>
      <w:rFonts w:ascii="Times New Roman" w:eastAsia="Times New Roman" w:hAnsi="Times New Roman" w:cs="Times New Roman"/>
      <w:lang w:eastAsia="en-N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8268E"/>
    <w:pPr>
      <w:spacing w:after="0" w:line="240" w:lineRule="auto"/>
    </w:pPr>
    <w:rPr>
      <w:rFonts w:ascii="Times New Roman" w:eastAsia="Times New Roman" w:hAnsi="Times New Roman" w:cs="Times New Roman"/>
      <w:lang w:eastAsia="en-NZ"/>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8268E"/>
    <w:pPr>
      <w:spacing w:after="0" w:line="240" w:lineRule="auto"/>
    </w:pPr>
    <w:rPr>
      <w:rFonts w:ascii="Times New Roman" w:eastAsia="Times New Roman" w:hAnsi="Times New Roman" w:cs="Times New Roman"/>
      <w:lang w:eastAsia="en-NZ"/>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8268E"/>
    <w:pPr>
      <w:spacing w:after="0" w:line="240" w:lineRule="auto"/>
    </w:pPr>
    <w:rPr>
      <w:rFonts w:ascii="Times New Roman" w:eastAsia="Times New Roman" w:hAnsi="Times New Roman" w:cs="Times New Roman"/>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8268E"/>
    <w:pPr>
      <w:spacing w:after="0" w:line="240" w:lineRule="auto"/>
    </w:pPr>
    <w:rPr>
      <w:rFonts w:ascii="Times New Roman" w:eastAsia="Times New Roman" w:hAnsi="Times New Roman" w:cs="Times New Roman"/>
      <w:lang w:eastAsia="en-N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8268E"/>
    <w:pPr>
      <w:spacing w:after="0" w:line="240" w:lineRule="auto"/>
    </w:pPr>
    <w:rPr>
      <w:rFonts w:ascii="Times New Roman" w:eastAsia="Times New Roman" w:hAnsi="Times New Roman" w:cs="Times New Roman"/>
      <w:lang w:eastAsia="en-N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8268E"/>
    <w:pPr>
      <w:spacing w:after="0" w:line="240" w:lineRule="auto"/>
    </w:pPr>
    <w:rPr>
      <w:rFonts w:ascii="Times New Roman" w:eastAsia="Times New Roman" w:hAnsi="Times New Roman" w:cs="Times New Roman"/>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8268E"/>
    <w:pPr>
      <w:spacing w:after="0" w:line="240" w:lineRule="auto"/>
    </w:pPr>
    <w:rPr>
      <w:rFonts w:ascii="Times New Roman" w:eastAsia="Times New Roman" w:hAnsi="Times New Roman" w:cs="Times New Roman"/>
      <w:lang w:eastAsia="en-N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8268E"/>
    <w:pPr>
      <w:spacing w:after="0" w:line="240" w:lineRule="auto"/>
    </w:pPr>
    <w:rPr>
      <w:rFonts w:ascii="Times New Roman" w:eastAsia="Times New Roman" w:hAnsi="Times New Roman" w:cs="Times New Roman"/>
      <w:lang w:eastAsia="en-N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8268E"/>
    <w:pPr>
      <w:spacing w:after="0" w:line="240" w:lineRule="auto"/>
    </w:pPr>
    <w:rPr>
      <w:rFonts w:ascii="Times New Roman" w:eastAsia="Times New Roman" w:hAnsi="Times New Roman" w:cs="Times New Roman"/>
      <w:lang w:eastAsia="en-N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8268E"/>
    <w:pPr>
      <w:spacing w:after="0" w:line="240" w:lineRule="auto"/>
    </w:pPr>
    <w:rPr>
      <w:rFonts w:ascii="Times New Roman" w:eastAsia="Times New Roman" w:hAnsi="Times New Roman" w:cs="Times New Roman"/>
      <w:lang w:eastAsia="en-NZ"/>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8268E"/>
    <w:pPr>
      <w:spacing w:after="0" w:line="240" w:lineRule="auto"/>
    </w:pPr>
    <w:rPr>
      <w:rFonts w:ascii="Times New Roman" w:eastAsia="Times New Roman" w:hAnsi="Times New Roman" w:cs="Times New Roman"/>
      <w:lang w:eastAsia="en-NZ"/>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8268E"/>
    <w:pPr>
      <w:spacing w:after="0" w:line="240" w:lineRule="auto"/>
    </w:pPr>
    <w:rPr>
      <w:rFonts w:ascii="Times New Roman" w:eastAsia="Times New Roman" w:hAnsi="Times New Roman"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8268E"/>
    <w:pPr>
      <w:spacing w:after="0" w:line="240" w:lineRule="auto"/>
    </w:pPr>
    <w:rPr>
      <w:rFonts w:ascii="Times New Roman" w:eastAsia="Times New Roman" w:hAnsi="Times New Roman" w:cs="Times New Roman"/>
      <w:lang w:eastAsia="en-N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268E"/>
    <w:pPr>
      <w:spacing w:after="0" w:line="240" w:lineRule="auto"/>
    </w:pPr>
    <w:rPr>
      <w:rFonts w:ascii="Times New Roman" w:eastAsia="Times New Roman" w:hAnsi="Times New Roman" w:cs="Times New Roman"/>
      <w:lang w:eastAsia="en-N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268E"/>
    <w:pPr>
      <w:spacing w:after="0" w:line="240" w:lineRule="auto"/>
    </w:pPr>
    <w:rPr>
      <w:rFonts w:ascii="Times New Roman" w:eastAsia="Times New Roman" w:hAnsi="Times New Roman" w:cs="Times New Roman"/>
      <w:lang w:eastAsia="en-N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uidanceNotes">
    <w:name w:val="Guidance Notes"/>
    <w:basedOn w:val="Normal-NZTA"/>
    <w:link w:val="GuidanceNotesChar"/>
    <w:rsid w:val="0088268E"/>
    <w:pPr>
      <w:spacing w:before="240" w:after="120"/>
    </w:pPr>
    <w:rPr>
      <w:i/>
      <w:color w:val="0000FF"/>
      <w:sz w:val="14"/>
    </w:rPr>
  </w:style>
  <w:style w:type="character" w:customStyle="1" w:styleId="GuidanceNotesChar">
    <w:name w:val="Guidance Notes Char"/>
    <w:link w:val="GuidanceNotes"/>
    <w:rsid w:val="0088268E"/>
    <w:rPr>
      <w:i/>
      <w:color w:val="0000FF"/>
      <w:sz w:val="14"/>
    </w:rPr>
  </w:style>
  <w:style w:type="paragraph" w:customStyle="1" w:styleId="FrontMatter">
    <w:name w:val="Front Matter"/>
    <w:basedOn w:val="Normal-NZTA"/>
    <w:next w:val="Normal-NZTA"/>
    <w:rsid w:val="0088268E"/>
    <w:rPr>
      <w:b/>
      <w:color w:val="000080"/>
      <w:sz w:val="28"/>
      <w:szCs w:val="28"/>
    </w:rPr>
  </w:style>
  <w:style w:type="paragraph" w:customStyle="1" w:styleId="TableHeading">
    <w:name w:val="Table Heading"/>
    <w:next w:val="TableRow"/>
    <w:rsid w:val="0088268E"/>
    <w:pPr>
      <w:keepNext/>
      <w:spacing w:before="80" w:after="80" w:line="240" w:lineRule="auto"/>
      <w:jc w:val="center"/>
    </w:pPr>
    <w:rPr>
      <w:rFonts w:ascii="Arial" w:eastAsia="Times New Roman" w:hAnsi="Arial" w:cs="Times New Roman"/>
      <w:b/>
      <w:sz w:val="16"/>
    </w:rPr>
  </w:style>
  <w:style w:type="paragraph" w:customStyle="1" w:styleId="TableRow">
    <w:name w:val="Table Row"/>
    <w:rsid w:val="0088268E"/>
    <w:pPr>
      <w:keepNext/>
      <w:spacing w:before="40" w:after="40" w:line="240" w:lineRule="auto"/>
    </w:pPr>
    <w:rPr>
      <w:rFonts w:ascii="Times New Roman" w:eastAsia="Times New Roman" w:hAnsi="Times New Roman" w:cs="Times New Roman"/>
    </w:rPr>
  </w:style>
  <w:style w:type="paragraph" w:customStyle="1" w:styleId="FrontTableRow">
    <w:name w:val="Front Table Row"/>
    <w:basedOn w:val="Normal"/>
    <w:rsid w:val="0088268E"/>
    <w:pPr>
      <w:spacing w:before="80" w:after="80"/>
    </w:pPr>
    <w:rPr>
      <w:rFonts w:ascii="Verdana" w:hAnsi="Verdana"/>
      <w:sz w:val="16"/>
    </w:rPr>
  </w:style>
  <w:style w:type="paragraph" w:customStyle="1" w:styleId="Documentinfo">
    <w:name w:val="Document info"/>
    <w:basedOn w:val="Normal-NZTA"/>
    <w:next w:val="Normal-NZTA"/>
    <w:rsid w:val="0088268E"/>
    <w:pPr>
      <w:spacing w:before="240" w:after="240"/>
    </w:pPr>
    <w:rPr>
      <w:b/>
    </w:rPr>
  </w:style>
  <w:style w:type="paragraph" w:customStyle="1" w:styleId="TableRowLast">
    <w:name w:val="Table Row Last"/>
    <w:basedOn w:val="TableRow"/>
    <w:rsid w:val="0088268E"/>
    <w:pPr>
      <w:keepNext w:val="0"/>
    </w:pPr>
  </w:style>
  <w:style w:type="paragraph" w:customStyle="1" w:styleId="Numberedheading2">
    <w:name w:val="Numbered heading 2"/>
    <w:basedOn w:val="Normal"/>
    <w:next w:val="Normal"/>
    <w:uiPriority w:val="14"/>
    <w:qFormat/>
    <w:rsid w:val="0088268E"/>
    <w:rPr>
      <w:b/>
      <w:bCs/>
      <w:caps/>
      <w:color w:val="AFBD21"/>
      <w:sz w:val="40"/>
      <w:szCs w:val="28"/>
    </w:rPr>
  </w:style>
  <w:style w:type="paragraph" w:customStyle="1" w:styleId="DocTitle">
    <w:name w:val="Doc Title"/>
    <w:rsid w:val="0088268E"/>
    <w:pPr>
      <w:spacing w:after="0" w:line="240" w:lineRule="auto"/>
      <w:ind w:left="1350"/>
      <w:jc w:val="right"/>
    </w:pPr>
    <w:rPr>
      <w:rFonts w:ascii="Arial" w:eastAsia="Times New Roman" w:hAnsi="Arial" w:cs="Times New Roman"/>
      <w:b/>
      <w:sz w:val="48"/>
      <w:lang w:val="en-US"/>
    </w:rPr>
  </w:style>
  <w:style w:type="paragraph" w:customStyle="1" w:styleId="PubDate">
    <w:name w:val="PubDate"/>
    <w:rsid w:val="0088268E"/>
    <w:pPr>
      <w:spacing w:before="360" w:after="200" w:line="240" w:lineRule="auto"/>
      <w:jc w:val="right"/>
    </w:pPr>
    <w:rPr>
      <w:rFonts w:ascii="Arial Narrow" w:eastAsia="Times New Roman" w:hAnsi="Arial Narrow" w:cs="Times New Roman"/>
      <w:b/>
      <w:sz w:val="32"/>
      <w:lang w:val="en-US"/>
    </w:rPr>
  </w:style>
  <w:style w:type="paragraph" w:customStyle="1" w:styleId="ProjectName">
    <w:name w:val="ProjectName"/>
    <w:qFormat/>
    <w:rsid w:val="0088268E"/>
    <w:pPr>
      <w:pBdr>
        <w:bottom w:val="single" w:sz="4" w:space="1" w:color="auto"/>
      </w:pBdr>
      <w:spacing w:before="100" w:beforeAutospacing="1" w:after="240" w:line="240" w:lineRule="auto"/>
    </w:pPr>
    <w:rPr>
      <w:rFonts w:ascii="Arial Narrow" w:eastAsia="Times New Roman" w:hAnsi="Arial Narrow" w:cs="Times New Roman"/>
      <w:b/>
      <w:sz w:val="48"/>
      <w:lang w:val="en-US"/>
    </w:rPr>
  </w:style>
  <w:style w:type="paragraph" w:customStyle="1" w:styleId="Tablebody">
    <w:name w:val="Table body"/>
    <w:basedOn w:val="Normal"/>
    <w:uiPriority w:val="8"/>
    <w:qFormat/>
    <w:rsid w:val="0088268E"/>
    <w:pPr>
      <w:shd w:val="clear" w:color="auto" w:fill="B9D4ED"/>
    </w:pPr>
    <w:rPr>
      <w:color w:val="00456B"/>
    </w:rPr>
  </w:style>
  <w:style w:type="table" w:customStyle="1" w:styleId="GridTable1Light-Accent11">
    <w:name w:val="Grid Table 1 Light - Accent 11"/>
    <w:basedOn w:val="TableNormal"/>
    <w:uiPriority w:val="46"/>
    <w:rsid w:val="0088268E"/>
    <w:pPr>
      <w:spacing w:after="0" w:line="240" w:lineRule="auto"/>
    </w:pPr>
    <w:rPr>
      <w:rFonts w:ascii="Calibri" w:eastAsia="Calibri" w:hAnsi="Calibri" w:cs="Times New Roman"/>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labelsearchastext1">
    <w:name w:val="labelsearchastext1"/>
    <w:rsid w:val="0088268E"/>
    <w:rPr>
      <w:b w:val="0"/>
      <w:bCs w:val="0"/>
      <w:strike w:val="0"/>
      <w:dstrike w:val="0"/>
      <w:color w:val="000000"/>
      <w:u w:val="none"/>
      <w:effect w:val="none"/>
    </w:rPr>
  </w:style>
  <w:style w:type="paragraph" w:customStyle="1" w:styleId="ListLetter">
    <w:name w:val="List Letter"/>
    <w:basedOn w:val="ListNumber"/>
    <w:next w:val="BodyText"/>
    <w:uiPriority w:val="5"/>
    <w:qFormat/>
    <w:locked/>
    <w:rsid w:val="0088268E"/>
    <w:pPr>
      <w:numPr>
        <w:numId w:val="0"/>
      </w:numPr>
      <w:tabs>
        <w:tab w:val="num" w:pos="1209"/>
      </w:tabs>
      <w:spacing w:after="80" w:line="240" w:lineRule="auto"/>
      <w:ind w:left="1209" w:hanging="360"/>
    </w:pPr>
    <w:rPr>
      <w:rFonts w:eastAsia="Calibri"/>
      <w:b w:val="0"/>
      <w:caps w:val="0"/>
      <w:color w:val="auto"/>
      <w:sz w:val="20"/>
      <w:szCs w:val="22"/>
    </w:rPr>
  </w:style>
  <w:style w:type="paragraph" w:customStyle="1" w:styleId="Numberedparagraph">
    <w:name w:val="Numbered paragraph"/>
    <w:basedOn w:val="Normal"/>
    <w:next w:val="Normal"/>
    <w:uiPriority w:val="9"/>
    <w:qFormat/>
    <w:rsid w:val="0088268E"/>
    <w:pPr>
      <w:tabs>
        <w:tab w:val="num" w:pos="1209"/>
      </w:tabs>
      <w:ind w:left="1209" w:hanging="360"/>
    </w:pPr>
    <w:rPr>
      <w:b/>
      <w:bCs/>
      <w:color w:val="00456A"/>
      <w:sz w:val="32"/>
      <w:szCs w:val="26"/>
    </w:rPr>
  </w:style>
  <w:style w:type="paragraph" w:customStyle="1" w:styleId="Numberedparagraph2">
    <w:name w:val="Numbered paragraph 2"/>
    <w:basedOn w:val="Normal"/>
    <w:next w:val="Normal"/>
    <w:uiPriority w:val="10"/>
    <w:qFormat/>
    <w:rsid w:val="0088268E"/>
    <w:pPr>
      <w:tabs>
        <w:tab w:val="num" w:pos="1209"/>
      </w:tabs>
      <w:ind w:left="1209" w:hanging="360"/>
    </w:pPr>
    <w:rPr>
      <w:rFonts w:eastAsia="Calibri"/>
      <w:b/>
    </w:rPr>
  </w:style>
  <w:style w:type="character" w:customStyle="1" w:styleId="UnresolvedMention1">
    <w:name w:val="Unresolved Mention1"/>
    <w:uiPriority w:val="99"/>
    <w:semiHidden/>
    <w:unhideWhenUsed/>
    <w:rsid w:val="0088268E"/>
    <w:rPr>
      <w:color w:val="808080"/>
      <w:shd w:val="clear" w:color="auto" w:fill="E6E6E6"/>
    </w:rPr>
  </w:style>
  <w:style w:type="paragraph" w:styleId="Revision">
    <w:name w:val="Revision"/>
    <w:hidden/>
    <w:uiPriority w:val="99"/>
    <w:semiHidden/>
    <w:rsid w:val="0088268E"/>
    <w:pPr>
      <w:spacing w:after="0" w:line="240" w:lineRule="auto"/>
    </w:pPr>
  </w:style>
  <w:style w:type="table" w:styleId="ListTable3-Accent1">
    <w:name w:val="List Table 3 Accent 1"/>
    <w:basedOn w:val="TableNormal"/>
    <w:uiPriority w:val="48"/>
    <w:rsid w:val="001179A4"/>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1179A4"/>
    <w:pPr>
      <w:spacing w:after="0" w:line="240" w:lineRule="auto"/>
    </w:pPr>
    <w:tblPr>
      <w:tblCellMar>
        <w:left w:w="0" w:type="dxa"/>
        <w:right w:w="0" w:type="dxa"/>
      </w:tblCellMar>
    </w:tblPr>
    <w:tcPr>
      <w:shd w:val="clear" w:color="auto" w:fill="auto"/>
    </w:tcPr>
  </w:style>
  <w:style w:type="character" w:styleId="UnresolvedMention">
    <w:name w:val="Unresolved Mention"/>
    <w:basedOn w:val="DefaultParagraphFont"/>
    <w:uiPriority w:val="99"/>
    <w:semiHidden/>
    <w:unhideWhenUsed/>
    <w:rsid w:val="00B9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5005">
      <w:bodyDiv w:val="1"/>
      <w:marLeft w:val="0"/>
      <w:marRight w:val="0"/>
      <w:marTop w:val="0"/>
      <w:marBottom w:val="0"/>
      <w:divBdr>
        <w:top w:val="none" w:sz="0" w:space="0" w:color="auto"/>
        <w:left w:val="none" w:sz="0" w:space="0" w:color="auto"/>
        <w:bottom w:val="none" w:sz="0" w:space="0" w:color="auto"/>
        <w:right w:val="none" w:sz="0" w:space="0" w:color="auto"/>
      </w:divBdr>
    </w:div>
    <w:div w:id="591858521">
      <w:bodyDiv w:val="1"/>
      <w:marLeft w:val="0"/>
      <w:marRight w:val="0"/>
      <w:marTop w:val="0"/>
      <w:marBottom w:val="0"/>
      <w:divBdr>
        <w:top w:val="none" w:sz="0" w:space="0" w:color="auto"/>
        <w:left w:val="none" w:sz="0" w:space="0" w:color="auto"/>
        <w:bottom w:val="none" w:sz="0" w:space="0" w:color="auto"/>
        <w:right w:val="none" w:sz="0" w:space="0" w:color="auto"/>
      </w:divBdr>
    </w:div>
    <w:div w:id="959536539">
      <w:bodyDiv w:val="1"/>
      <w:marLeft w:val="0"/>
      <w:marRight w:val="0"/>
      <w:marTop w:val="0"/>
      <w:marBottom w:val="0"/>
      <w:divBdr>
        <w:top w:val="none" w:sz="0" w:space="0" w:color="auto"/>
        <w:left w:val="none" w:sz="0" w:space="0" w:color="auto"/>
        <w:bottom w:val="none" w:sz="0" w:space="0" w:color="auto"/>
        <w:right w:val="none" w:sz="0" w:space="0" w:color="auto"/>
      </w:divBdr>
      <w:divsChild>
        <w:div w:id="597717525">
          <w:marLeft w:val="0"/>
          <w:marRight w:val="0"/>
          <w:marTop w:val="0"/>
          <w:marBottom w:val="0"/>
          <w:divBdr>
            <w:top w:val="none" w:sz="0" w:space="0" w:color="auto"/>
            <w:left w:val="none" w:sz="0" w:space="0" w:color="auto"/>
            <w:bottom w:val="none" w:sz="0" w:space="0" w:color="auto"/>
            <w:right w:val="none" w:sz="0" w:space="0" w:color="auto"/>
          </w:divBdr>
          <w:divsChild>
            <w:div w:id="930504978">
              <w:marLeft w:val="0"/>
              <w:marRight w:val="0"/>
              <w:marTop w:val="0"/>
              <w:marBottom w:val="60"/>
              <w:divBdr>
                <w:top w:val="none" w:sz="0" w:space="0" w:color="auto"/>
                <w:left w:val="none" w:sz="0" w:space="0" w:color="auto"/>
                <w:bottom w:val="none" w:sz="0" w:space="0" w:color="auto"/>
                <w:right w:val="none" w:sz="0" w:space="0" w:color="auto"/>
              </w:divBdr>
              <w:divsChild>
                <w:div w:id="5181882">
                  <w:marLeft w:val="0"/>
                  <w:marRight w:val="0"/>
                  <w:marTop w:val="0"/>
                  <w:marBottom w:val="0"/>
                  <w:divBdr>
                    <w:top w:val="none" w:sz="0" w:space="0" w:color="auto"/>
                    <w:left w:val="none" w:sz="0" w:space="0" w:color="auto"/>
                    <w:bottom w:val="none" w:sz="0" w:space="0" w:color="auto"/>
                    <w:right w:val="none" w:sz="0" w:space="0" w:color="auto"/>
                  </w:divBdr>
                </w:div>
                <w:div w:id="202912481">
                  <w:marLeft w:val="0"/>
                  <w:marRight w:val="0"/>
                  <w:marTop w:val="0"/>
                  <w:marBottom w:val="0"/>
                  <w:divBdr>
                    <w:top w:val="none" w:sz="0" w:space="0" w:color="auto"/>
                    <w:left w:val="none" w:sz="0" w:space="0" w:color="auto"/>
                    <w:bottom w:val="none" w:sz="0" w:space="0" w:color="auto"/>
                    <w:right w:val="none" w:sz="0" w:space="0" w:color="auto"/>
                  </w:divBdr>
                </w:div>
                <w:div w:id="537619904">
                  <w:marLeft w:val="0"/>
                  <w:marRight w:val="0"/>
                  <w:marTop w:val="0"/>
                  <w:marBottom w:val="0"/>
                  <w:divBdr>
                    <w:top w:val="none" w:sz="0" w:space="0" w:color="auto"/>
                    <w:left w:val="none" w:sz="0" w:space="0" w:color="auto"/>
                    <w:bottom w:val="none" w:sz="0" w:space="0" w:color="auto"/>
                    <w:right w:val="none" w:sz="0" w:space="0" w:color="auto"/>
                  </w:divBdr>
                </w:div>
                <w:div w:id="1507553833">
                  <w:marLeft w:val="0"/>
                  <w:marRight w:val="0"/>
                  <w:marTop w:val="0"/>
                  <w:marBottom w:val="0"/>
                  <w:divBdr>
                    <w:top w:val="none" w:sz="0" w:space="0" w:color="auto"/>
                    <w:left w:val="none" w:sz="0" w:space="0" w:color="auto"/>
                    <w:bottom w:val="none" w:sz="0" w:space="0" w:color="auto"/>
                    <w:right w:val="none" w:sz="0" w:space="0" w:color="auto"/>
                  </w:divBdr>
                  <w:divsChild>
                    <w:div w:id="20617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03583">
          <w:marLeft w:val="0"/>
          <w:marRight w:val="0"/>
          <w:marTop w:val="0"/>
          <w:marBottom w:val="0"/>
          <w:divBdr>
            <w:top w:val="none" w:sz="0" w:space="0" w:color="auto"/>
            <w:left w:val="none" w:sz="0" w:space="0" w:color="auto"/>
            <w:bottom w:val="none" w:sz="0" w:space="0" w:color="auto"/>
            <w:right w:val="none" w:sz="0" w:space="0" w:color="auto"/>
          </w:divBdr>
          <w:divsChild>
            <w:div w:id="1158227040">
              <w:marLeft w:val="0"/>
              <w:marRight w:val="0"/>
              <w:marTop w:val="0"/>
              <w:marBottom w:val="0"/>
              <w:divBdr>
                <w:top w:val="none" w:sz="0" w:space="0" w:color="auto"/>
                <w:left w:val="none" w:sz="0" w:space="0" w:color="auto"/>
                <w:bottom w:val="none" w:sz="0" w:space="0" w:color="auto"/>
                <w:right w:val="none" w:sz="0" w:space="0" w:color="auto"/>
              </w:divBdr>
              <w:divsChild>
                <w:div w:id="862089949">
                  <w:marLeft w:val="0"/>
                  <w:marRight w:val="0"/>
                  <w:marTop w:val="0"/>
                  <w:marBottom w:val="0"/>
                  <w:divBdr>
                    <w:top w:val="none" w:sz="0" w:space="0" w:color="auto"/>
                    <w:left w:val="none" w:sz="0" w:space="0" w:color="auto"/>
                    <w:bottom w:val="none" w:sz="0" w:space="0" w:color="auto"/>
                    <w:right w:val="none" w:sz="0" w:space="0" w:color="auto"/>
                  </w:divBdr>
                  <w:divsChild>
                    <w:div w:id="1130706055">
                      <w:marLeft w:val="-120"/>
                      <w:marRight w:val="0"/>
                      <w:marTop w:val="0"/>
                      <w:marBottom w:val="0"/>
                      <w:divBdr>
                        <w:top w:val="none" w:sz="0" w:space="0" w:color="auto"/>
                        <w:left w:val="none" w:sz="0" w:space="0" w:color="auto"/>
                        <w:bottom w:val="none" w:sz="0" w:space="0" w:color="auto"/>
                        <w:right w:val="none" w:sz="0" w:space="0" w:color="auto"/>
                      </w:divBdr>
                      <w:divsChild>
                        <w:div w:id="408114647">
                          <w:marLeft w:val="0"/>
                          <w:marRight w:val="0"/>
                          <w:marTop w:val="0"/>
                          <w:marBottom w:val="0"/>
                          <w:divBdr>
                            <w:top w:val="none" w:sz="0" w:space="0" w:color="auto"/>
                            <w:left w:val="none" w:sz="0" w:space="0" w:color="auto"/>
                            <w:bottom w:val="none" w:sz="0" w:space="0" w:color="auto"/>
                            <w:right w:val="none" w:sz="0" w:space="0" w:color="auto"/>
                          </w:divBdr>
                          <w:divsChild>
                            <w:div w:id="1754088854">
                              <w:marLeft w:val="0"/>
                              <w:marRight w:val="0"/>
                              <w:marTop w:val="0"/>
                              <w:marBottom w:val="0"/>
                              <w:divBdr>
                                <w:top w:val="none" w:sz="0" w:space="0" w:color="auto"/>
                                <w:left w:val="none" w:sz="0" w:space="0" w:color="auto"/>
                                <w:bottom w:val="none" w:sz="0" w:space="0" w:color="auto"/>
                                <w:right w:val="none" w:sz="0" w:space="0" w:color="auto"/>
                              </w:divBdr>
                              <w:divsChild>
                                <w:div w:id="1517499995">
                                  <w:marLeft w:val="0"/>
                                  <w:marRight w:val="0"/>
                                  <w:marTop w:val="0"/>
                                  <w:marBottom w:val="0"/>
                                  <w:divBdr>
                                    <w:top w:val="none" w:sz="0" w:space="0" w:color="auto"/>
                                    <w:left w:val="none" w:sz="0" w:space="0" w:color="auto"/>
                                    <w:bottom w:val="none" w:sz="0" w:space="0" w:color="auto"/>
                                    <w:right w:val="none" w:sz="0" w:space="0" w:color="auto"/>
                                  </w:divBdr>
                                  <w:divsChild>
                                    <w:div w:id="1389114394">
                                      <w:marLeft w:val="0"/>
                                      <w:marRight w:val="0"/>
                                      <w:marTop w:val="0"/>
                                      <w:marBottom w:val="0"/>
                                      <w:divBdr>
                                        <w:top w:val="none" w:sz="0" w:space="0" w:color="auto"/>
                                        <w:left w:val="none" w:sz="0" w:space="0" w:color="auto"/>
                                        <w:bottom w:val="none" w:sz="0" w:space="0" w:color="auto"/>
                                        <w:right w:val="none" w:sz="0" w:space="0" w:color="auto"/>
                                      </w:divBdr>
                                      <w:divsChild>
                                        <w:div w:id="1016418232">
                                          <w:marLeft w:val="0"/>
                                          <w:marRight w:val="0"/>
                                          <w:marTop w:val="0"/>
                                          <w:marBottom w:val="0"/>
                                          <w:divBdr>
                                            <w:top w:val="single" w:sz="12" w:space="5" w:color="auto"/>
                                            <w:left w:val="single" w:sz="12" w:space="5" w:color="auto"/>
                                            <w:bottom w:val="single" w:sz="12" w:space="5" w:color="auto"/>
                                            <w:right w:val="single" w:sz="12" w:space="5" w:color="auto"/>
                                          </w:divBdr>
                                          <w:divsChild>
                                            <w:div w:id="8505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105443">
      <w:bodyDiv w:val="1"/>
      <w:marLeft w:val="0"/>
      <w:marRight w:val="0"/>
      <w:marTop w:val="0"/>
      <w:marBottom w:val="0"/>
      <w:divBdr>
        <w:top w:val="none" w:sz="0" w:space="0" w:color="auto"/>
        <w:left w:val="none" w:sz="0" w:space="0" w:color="auto"/>
        <w:bottom w:val="none" w:sz="0" w:space="0" w:color="auto"/>
        <w:right w:val="none" w:sz="0" w:space="0" w:color="auto"/>
      </w:divBdr>
    </w:div>
    <w:div w:id="1489861871">
      <w:bodyDiv w:val="1"/>
      <w:marLeft w:val="0"/>
      <w:marRight w:val="0"/>
      <w:marTop w:val="0"/>
      <w:marBottom w:val="0"/>
      <w:divBdr>
        <w:top w:val="none" w:sz="0" w:space="0" w:color="auto"/>
        <w:left w:val="none" w:sz="0" w:space="0" w:color="auto"/>
        <w:bottom w:val="none" w:sz="0" w:space="0" w:color="auto"/>
        <w:right w:val="none" w:sz="0" w:space="0" w:color="auto"/>
      </w:divBdr>
    </w:div>
    <w:div w:id="1559167495">
      <w:bodyDiv w:val="1"/>
      <w:marLeft w:val="0"/>
      <w:marRight w:val="0"/>
      <w:marTop w:val="0"/>
      <w:marBottom w:val="0"/>
      <w:divBdr>
        <w:top w:val="none" w:sz="0" w:space="0" w:color="auto"/>
        <w:left w:val="none" w:sz="0" w:space="0" w:color="auto"/>
        <w:bottom w:val="none" w:sz="0" w:space="0" w:color="auto"/>
        <w:right w:val="none" w:sz="0" w:space="0" w:color="auto"/>
      </w:divBdr>
    </w:div>
    <w:div w:id="17087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ta.govt.nz/roads-and-rail/road-efficiency-group/projects/onr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ZTA 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F271-5E64-4FE8-9C82-DBCC7F19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1305</Words>
  <Characters>7443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2020-08-26T22:52:00Z</dcterms:created>
  <dcterms:modified xsi:type="dcterms:W3CDTF">2020-08-26T22:52:00Z</dcterms:modified>
</cp:coreProperties>
</file>