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3820695"/>
    <w:bookmarkStart w:id="1" w:name="_Toc514059668"/>
    <w:bookmarkStart w:id="2" w:name="_Toc514059669"/>
    <w:p w14:paraId="1782F0C3" w14:textId="5CB95455" w:rsidR="008901D5" w:rsidRPr="00492A50" w:rsidRDefault="0095480D" w:rsidP="008901D5">
      <w:pPr>
        <w:pStyle w:val="Title"/>
        <w:rPr>
          <w:rFonts w:cstheme="majorHAnsi"/>
        </w:rPr>
      </w:pPr>
      <w:sdt>
        <w:sdtPr>
          <w:rPr>
            <w:rFonts w:cstheme="majorHAnsi"/>
          </w:rPr>
          <w:id w:val="-1591768250"/>
          <w:placeholder>
            <w:docPart w:val="5DF8BBD347164C83949FEF9D008F3548"/>
          </w:placeholder>
          <w:dataBinding w:prefixMappings="xmlns:ns0='http://purl.org/dc/elements/1.1/' xmlns:ns1='http://schemas.openxmlformats.org/package/2006/metadata/core-properties' " w:xpath="/ns1:coreProperties[1]/ns0:title[1]" w:storeItemID="{6C3C8BC8-F283-45AE-878A-BAB7291924A1}"/>
          <w:text/>
        </w:sdtPr>
        <w:sdtEndPr/>
        <w:sdtContent>
          <w:r>
            <w:rPr>
              <w:rFonts w:cstheme="majorHAnsi"/>
            </w:rPr>
            <w:t>Reshaping Streets regulatory changes</w:t>
          </w:r>
        </w:sdtContent>
      </w:sdt>
      <w:bookmarkEnd w:id="0"/>
      <w:bookmarkEnd w:id="1"/>
    </w:p>
    <w:p w14:paraId="70E881B5" w14:textId="5E1C64ED" w:rsidR="000E379C" w:rsidRPr="0095480D" w:rsidRDefault="0095480D" w:rsidP="0095480D">
      <w:pPr>
        <w:pStyle w:val="Subtitle"/>
        <w:rPr>
          <w:color w:val="auto"/>
          <w:sz w:val="36"/>
          <w:szCs w:val="36"/>
        </w:rPr>
      </w:pPr>
      <w:r w:rsidRPr="0095480D">
        <w:rPr>
          <w:color w:val="auto"/>
          <w:sz w:val="36"/>
          <w:szCs w:val="36"/>
        </w:rPr>
        <w:t>Glossary of terms</w:t>
      </w:r>
    </w:p>
    <w:bookmarkEnd w:id="2"/>
    <w:p w14:paraId="1CC86D83" w14:textId="77777777" w:rsidR="000E379C" w:rsidRPr="000E379C" w:rsidRDefault="000E379C" w:rsidP="009A6D46">
      <w:pPr>
        <w:pBdr>
          <w:top w:val="single" w:sz="4" w:space="1" w:color="auto"/>
        </w:pBdr>
      </w:pPr>
    </w:p>
    <w:p w14:paraId="60FE3CB5" w14:textId="5334F33E" w:rsidR="0095480D" w:rsidRPr="0095480D" w:rsidRDefault="0095480D" w:rsidP="0095480D">
      <w:pPr>
        <w:rPr>
          <w:sz w:val="22"/>
          <w:szCs w:val="22"/>
        </w:rPr>
      </w:pPr>
      <w:r>
        <w:rPr>
          <w:sz w:val="22"/>
          <w:szCs w:val="22"/>
        </w:rPr>
        <w:t>Reshaping Streets</w:t>
      </w:r>
      <w:r w:rsidRPr="0095480D">
        <w:rPr>
          <w:sz w:val="22"/>
          <w:szCs w:val="22"/>
        </w:rPr>
        <w:t xml:space="preserve"> includes some terms that you may not be familiar with, so we have included some definitions here.</w:t>
      </w:r>
    </w:p>
    <w:p w14:paraId="146BE464" w14:textId="77777777" w:rsidR="0095480D" w:rsidRDefault="0095480D" w:rsidP="0095480D">
      <w:pPr>
        <w:pStyle w:val="Heading2"/>
        <w:rPr>
          <w:color w:val="auto"/>
        </w:rPr>
      </w:pPr>
      <w:r>
        <w:rPr>
          <w:color w:val="auto"/>
        </w:rPr>
        <w:t>Community Streets</w:t>
      </w:r>
    </w:p>
    <w:p w14:paraId="0A2594BE" w14:textId="77777777" w:rsidR="0095480D" w:rsidRPr="0095480D" w:rsidRDefault="0095480D" w:rsidP="0095480D">
      <w:pPr>
        <w:rPr>
          <w:sz w:val="22"/>
          <w:szCs w:val="22"/>
        </w:rPr>
      </w:pPr>
      <w:r w:rsidRPr="0095480D">
        <w:rPr>
          <w:sz w:val="22"/>
          <w:szCs w:val="22"/>
        </w:rPr>
        <w:t>These are events (also known as play streets) that restrict motor vehicles on quiet local streets so that children and parents can play or hold activities on their street. They are led by residents with approval from RCAs. Play Streets often last for a couple of hours and can be held on a regular basis (</w:t>
      </w:r>
      <w:proofErr w:type="gramStart"/>
      <w:r w:rsidRPr="0095480D">
        <w:rPr>
          <w:sz w:val="22"/>
          <w:szCs w:val="22"/>
        </w:rPr>
        <w:t>e.g.</w:t>
      </w:r>
      <w:proofErr w:type="gramEnd"/>
      <w:r w:rsidRPr="0095480D">
        <w:rPr>
          <w:sz w:val="22"/>
          <w:szCs w:val="22"/>
        </w:rPr>
        <w:t xml:space="preserve"> once per month). </w:t>
      </w:r>
    </w:p>
    <w:p w14:paraId="5EC7EA47" w14:textId="77777777" w:rsidR="0095480D" w:rsidRPr="00477DC3" w:rsidRDefault="0095480D" w:rsidP="0095480D">
      <w:pPr>
        <w:pStyle w:val="Heading2"/>
        <w:rPr>
          <w:color w:val="auto"/>
        </w:rPr>
      </w:pPr>
      <w:r w:rsidRPr="00477DC3">
        <w:rPr>
          <w:color w:val="auto"/>
        </w:rPr>
        <w:t>Filtering traffic</w:t>
      </w:r>
    </w:p>
    <w:p w14:paraId="36739AE8" w14:textId="77777777" w:rsidR="0095480D" w:rsidRPr="0095480D" w:rsidRDefault="0095480D" w:rsidP="0095480D">
      <w:pPr>
        <w:rPr>
          <w:bCs/>
          <w:sz w:val="22"/>
          <w:szCs w:val="22"/>
        </w:rPr>
      </w:pPr>
      <w:r w:rsidRPr="0095480D">
        <w:rPr>
          <w:bCs/>
          <w:sz w:val="22"/>
          <w:szCs w:val="22"/>
        </w:rPr>
        <w:t>This involves using physical objects (see modal filters) or traffic controls (</w:t>
      </w:r>
      <w:proofErr w:type="gramStart"/>
      <w:r w:rsidRPr="0095480D">
        <w:rPr>
          <w:bCs/>
          <w:sz w:val="22"/>
          <w:szCs w:val="22"/>
        </w:rPr>
        <w:t>e.g.</w:t>
      </w:r>
      <w:proofErr w:type="gramEnd"/>
      <w:r w:rsidRPr="0095480D">
        <w:rPr>
          <w:bCs/>
          <w:sz w:val="22"/>
          <w:szCs w:val="22"/>
        </w:rPr>
        <w:t xml:space="preserve"> signs) to restrict or prohibit some vehicles from travelling through part of a street while providing access for other road users. For example, bollards can be used to filter traffic at one end of a street so that people travelling by foot, wheelchair, pram, or bike can pass through while motor vehicles need to take an alternative route. </w:t>
      </w:r>
    </w:p>
    <w:p w14:paraId="0C0A8C74" w14:textId="77777777" w:rsidR="0095480D" w:rsidRPr="00477DC3" w:rsidRDefault="0095480D" w:rsidP="0095480D">
      <w:pPr>
        <w:pStyle w:val="Heading2"/>
        <w:rPr>
          <w:color w:val="auto"/>
        </w:rPr>
      </w:pPr>
      <w:r w:rsidRPr="00477DC3">
        <w:rPr>
          <w:color w:val="auto"/>
        </w:rPr>
        <w:t xml:space="preserve">Local authority </w:t>
      </w:r>
    </w:p>
    <w:p w14:paraId="0BBAED46" w14:textId="77777777" w:rsidR="0095480D" w:rsidRPr="0095480D" w:rsidRDefault="0095480D" w:rsidP="0095480D">
      <w:pPr>
        <w:rPr>
          <w:sz w:val="22"/>
          <w:szCs w:val="22"/>
        </w:rPr>
      </w:pPr>
      <w:r w:rsidRPr="0095480D">
        <w:rPr>
          <w:sz w:val="22"/>
          <w:szCs w:val="22"/>
        </w:rPr>
        <w:t xml:space="preserve">This is a term used to describe New Zealand’s regional, district, city, or unitary councils. This includes Auckland Transport. </w:t>
      </w:r>
    </w:p>
    <w:p w14:paraId="1D2D5393" w14:textId="77777777" w:rsidR="0095480D" w:rsidRPr="00477DC3" w:rsidRDefault="0095480D" w:rsidP="0095480D">
      <w:pPr>
        <w:pStyle w:val="Heading2"/>
        <w:rPr>
          <w:color w:val="auto"/>
        </w:rPr>
      </w:pPr>
      <w:r w:rsidRPr="00477DC3">
        <w:rPr>
          <w:color w:val="auto"/>
        </w:rPr>
        <w:t>Low traffic neighbourhoods and filtered traffic areas</w:t>
      </w:r>
    </w:p>
    <w:p w14:paraId="6EEBEA44" w14:textId="77777777" w:rsidR="0095480D" w:rsidRPr="0095480D" w:rsidRDefault="0095480D" w:rsidP="0095480D">
      <w:pPr>
        <w:rPr>
          <w:sz w:val="22"/>
          <w:szCs w:val="22"/>
        </w:rPr>
      </w:pPr>
      <w:r w:rsidRPr="0095480D">
        <w:rPr>
          <w:sz w:val="22"/>
          <w:szCs w:val="22"/>
        </w:rPr>
        <w:t>These are low-speed, people-friendly areas that let motor vehicles access a street, but in a way that encourages slow speeds, or restricts them from using residential streets as short cuts when other routes are available. Objects such as concrete blocks, planter boxes, or curb cut outs may be used to narrow the street and encourage motorists to drive at a slower speed. Low traffic neighbourhoods have various names such as ‘quiet streets,’ ‘slow streets’ or ‘neighbourhood greenways.’</w:t>
      </w:r>
      <w:r w:rsidRPr="0095480D">
        <w:rPr>
          <w:i/>
          <w:iCs/>
          <w:sz w:val="22"/>
          <w:szCs w:val="22"/>
        </w:rPr>
        <w:t xml:space="preserve"> </w:t>
      </w:r>
      <w:r w:rsidRPr="0095480D">
        <w:rPr>
          <w:sz w:val="22"/>
          <w:szCs w:val="22"/>
        </w:rPr>
        <w:t xml:space="preserve">In our proposals, we call them </w:t>
      </w:r>
      <w:r w:rsidRPr="0095480D">
        <w:rPr>
          <w:b/>
          <w:bCs/>
          <w:sz w:val="22"/>
          <w:szCs w:val="22"/>
        </w:rPr>
        <w:t>‘</w:t>
      </w:r>
      <w:r w:rsidRPr="0095480D">
        <w:rPr>
          <w:sz w:val="22"/>
          <w:szCs w:val="22"/>
        </w:rPr>
        <w:t>filtered traffic areas</w:t>
      </w:r>
      <w:r w:rsidRPr="0095480D">
        <w:rPr>
          <w:b/>
          <w:bCs/>
          <w:sz w:val="22"/>
          <w:szCs w:val="22"/>
        </w:rPr>
        <w:t>’.</w:t>
      </w:r>
    </w:p>
    <w:p w14:paraId="6B8737EC" w14:textId="77777777" w:rsidR="0095480D" w:rsidRPr="00477DC3" w:rsidRDefault="0095480D" w:rsidP="0095480D">
      <w:pPr>
        <w:pStyle w:val="Heading2"/>
        <w:rPr>
          <w:color w:val="auto"/>
        </w:rPr>
      </w:pPr>
      <w:r w:rsidRPr="00477DC3">
        <w:rPr>
          <w:color w:val="auto"/>
        </w:rPr>
        <w:t>Modal filters</w:t>
      </w:r>
    </w:p>
    <w:p w14:paraId="3D795770" w14:textId="77777777" w:rsidR="0095480D" w:rsidRPr="0095480D" w:rsidRDefault="0095480D" w:rsidP="0095480D">
      <w:pPr>
        <w:rPr>
          <w:sz w:val="22"/>
          <w:szCs w:val="22"/>
        </w:rPr>
      </w:pPr>
      <w:r w:rsidRPr="0095480D">
        <w:rPr>
          <w:sz w:val="22"/>
          <w:szCs w:val="22"/>
        </w:rPr>
        <w:t xml:space="preserve">These are physical features that can be used to prioritise or restrict access by different travel modes (see filtering traffic). Modal filters include features like bollards, planter boxes, trees, street furniture, or concrete blocks. </w:t>
      </w:r>
    </w:p>
    <w:p w14:paraId="731C4385" w14:textId="77777777" w:rsidR="0095480D" w:rsidRPr="00477DC3" w:rsidRDefault="0095480D" w:rsidP="0095480D">
      <w:pPr>
        <w:pStyle w:val="Heading2"/>
        <w:rPr>
          <w:color w:val="auto"/>
        </w:rPr>
      </w:pPr>
      <w:r w:rsidRPr="00477DC3">
        <w:rPr>
          <w:color w:val="auto"/>
        </w:rPr>
        <w:t xml:space="preserve">Pedestrian malls </w:t>
      </w:r>
    </w:p>
    <w:p w14:paraId="1E572B5F" w14:textId="77777777" w:rsidR="0095480D" w:rsidRPr="0095480D" w:rsidRDefault="0095480D" w:rsidP="0095480D">
      <w:pPr>
        <w:rPr>
          <w:sz w:val="22"/>
          <w:szCs w:val="22"/>
        </w:rPr>
      </w:pPr>
      <w:r w:rsidRPr="0095480D">
        <w:rPr>
          <w:sz w:val="22"/>
          <w:szCs w:val="22"/>
        </w:rPr>
        <w:t xml:space="preserve">These are pedestrian-only areas of streets that attract high levels of foot traffic. They are often destinations for people to shop, dine, relax, play, and walk through. Pedestrian malls may also allow for people using devices, cycling, or trams to travel through the area. For example, Cuba Street in Wellington and City Mall in Christchurch are pedestrian malls.  </w:t>
      </w:r>
    </w:p>
    <w:p w14:paraId="11279E47" w14:textId="77777777" w:rsidR="0095480D" w:rsidRPr="00477DC3" w:rsidRDefault="0095480D" w:rsidP="0095480D">
      <w:pPr>
        <w:pStyle w:val="Heading2"/>
        <w:rPr>
          <w:color w:val="auto"/>
        </w:rPr>
      </w:pPr>
      <w:r w:rsidRPr="00477DC3">
        <w:rPr>
          <w:color w:val="auto"/>
        </w:rPr>
        <w:lastRenderedPageBreak/>
        <w:t>Pilots</w:t>
      </w:r>
    </w:p>
    <w:p w14:paraId="37EFB733" w14:textId="77777777" w:rsidR="0095480D" w:rsidRPr="0095480D" w:rsidRDefault="0095480D" w:rsidP="0095480D">
      <w:pPr>
        <w:rPr>
          <w:sz w:val="22"/>
          <w:szCs w:val="22"/>
        </w:rPr>
      </w:pPr>
      <w:r w:rsidRPr="0095480D">
        <w:rPr>
          <w:sz w:val="22"/>
          <w:szCs w:val="22"/>
        </w:rPr>
        <w:t xml:space="preserve">These are short-term street changes used to test different street designs, or prototypes in various street environments. They are sometimes called trials or experiments. </w:t>
      </w:r>
    </w:p>
    <w:p w14:paraId="0253FC38" w14:textId="77777777" w:rsidR="0095480D" w:rsidRPr="00477DC3" w:rsidRDefault="0095480D" w:rsidP="0095480D">
      <w:pPr>
        <w:pStyle w:val="Heading2"/>
        <w:rPr>
          <w:color w:val="auto"/>
        </w:rPr>
      </w:pPr>
      <w:r w:rsidRPr="00477DC3">
        <w:rPr>
          <w:color w:val="auto"/>
        </w:rPr>
        <w:t>Placemaking</w:t>
      </w:r>
    </w:p>
    <w:p w14:paraId="6AFF97E7" w14:textId="77777777" w:rsidR="0095480D" w:rsidRPr="0095480D" w:rsidRDefault="0095480D" w:rsidP="0095480D">
      <w:pPr>
        <w:spacing w:before="120"/>
        <w:rPr>
          <w:b/>
          <w:sz w:val="22"/>
          <w:szCs w:val="22"/>
        </w:rPr>
      </w:pPr>
      <w:r w:rsidRPr="0095480D">
        <w:rPr>
          <w:sz w:val="22"/>
          <w:szCs w:val="22"/>
        </w:rPr>
        <w:t xml:space="preserve">This is the process of creating quality places that people want to live, work, play and learn in. For example, creating streetscapes with public seating, trees, and art can make urban spaces nicer to be in and help to develop a shared sense of place. </w:t>
      </w:r>
    </w:p>
    <w:p w14:paraId="6A737586" w14:textId="77777777" w:rsidR="0095480D" w:rsidRPr="00477DC3" w:rsidRDefault="0095480D" w:rsidP="0095480D">
      <w:pPr>
        <w:pStyle w:val="Heading2"/>
        <w:rPr>
          <w:color w:val="auto"/>
        </w:rPr>
      </w:pPr>
      <w:r w:rsidRPr="00477DC3">
        <w:rPr>
          <w:color w:val="auto"/>
        </w:rPr>
        <w:t>Regulatory changes</w:t>
      </w:r>
    </w:p>
    <w:p w14:paraId="6A708924" w14:textId="77777777" w:rsidR="0095480D" w:rsidRPr="0095480D" w:rsidRDefault="0095480D" w:rsidP="0095480D">
      <w:pPr>
        <w:rPr>
          <w:sz w:val="22"/>
          <w:szCs w:val="22"/>
        </w:rPr>
      </w:pPr>
      <w:r w:rsidRPr="0095480D">
        <w:rPr>
          <w:sz w:val="22"/>
          <w:szCs w:val="22"/>
        </w:rPr>
        <w:t>This means changes to legislation. It includes primary legislation (</w:t>
      </w:r>
      <w:proofErr w:type="gramStart"/>
      <w:r w:rsidRPr="0095480D">
        <w:rPr>
          <w:sz w:val="22"/>
          <w:szCs w:val="22"/>
        </w:rPr>
        <w:t>i.e.</w:t>
      </w:r>
      <w:proofErr w:type="gramEnd"/>
      <w:r w:rsidRPr="0095480D">
        <w:rPr>
          <w:sz w:val="22"/>
          <w:szCs w:val="22"/>
        </w:rPr>
        <w:t xml:space="preserve"> Acts of Parliament) and secondary legislation (e.g. land transport rules). </w:t>
      </w:r>
    </w:p>
    <w:p w14:paraId="7A4A26C1" w14:textId="77777777" w:rsidR="0095480D" w:rsidRPr="00477DC3" w:rsidRDefault="0095480D" w:rsidP="0095480D">
      <w:pPr>
        <w:pStyle w:val="Heading2"/>
        <w:rPr>
          <w:color w:val="auto"/>
        </w:rPr>
      </w:pPr>
      <w:r w:rsidRPr="00477DC3">
        <w:rPr>
          <w:color w:val="auto"/>
        </w:rPr>
        <w:t xml:space="preserve">Road controlling authorities (RCAs) </w:t>
      </w:r>
    </w:p>
    <w:p w14:paraId="09BDC3E9" w14:textId="77777777" w:rsidR="0095480D" w:rsidRPr="0095480D" w:rsidRDefault="0095480D" w:rsidP="0095480D">
      <w:pPr>
        <w:rPr>
          <w:sz w:val="22"/>
          <w:szCs w:val="22"/>
        </w:rPr>
      </w:pPr>
      <w:r w:rsidRPr="0095480D">
        <w:rPr>
          <w:sz w:val="22"/>
          <w:szCs w:val="22"/>
        </w:rPr>
        <w:t>These are the groups responsible for managing roads around New Zealand. For example, local councils and Auckland Transport are RCAs responsible for managing roads in their areas.</w:t>
      </w:r>
    </w:p>
    <w:p w14:paraId="5011769E" w14:textId="77777777" w:rsidR="0095480D" w:rsidRPr="00477DC3" w:rsidRDefault="0095480D" w:rsidP="0095480D">
      <w:pPr>
        <w:pStyle w:val="Heading2"/>
        <w:rPr>
          <w:color w:val="auto"/>
        </w:rPr>
      </w:pPr>
      <w:r w:rsidRPr="00477DC3">
        <w:rPr>
          <w:color w:val="auto"/>
        </w:rPr>
        <w:t xml:space="preserve">School Streets </w:t>
      </w:r>
    </w:p>
    <w:p w14:paraId="49007559" w14:textId="77777777" w:rsidR="0095480D" w:rsidRPr="0095480D" w:rsidRDefault="0095480D" w:rsidP="0095480D">
      <w:pPr>
        <w:rPr>
          <w:sz w:val="22"/>
          <w:szCs w:val="22"/>
        </w:rPr>
      </w:pPr>
      <w:r w:rsidRPr="0095480D">
        <w:rPr>
          <w:sz w:val="22"/>
          <w:szCs w:val="22"/>
        </w:rPr>
        <w:t xml:space="preserve">These are streets that restrict motorised traffic outside schools that apply during school drop-off and pick-up times. School Streets can also be applied to areas beyond the school, so that children have a clear, safe route to walk, cycle or ride a device to school. </w:t>
      </w:r>
    </w:p>
    <w:p w14:paraId="31A2AB07" w14:textId="77777777" w:rsidR="0095480D" w:rsidRPr="00477DC3" w:rsidRDefault="0095480D" w:rsidP="0095480D">
      <w:pPr>
        <w:pStyle w:val="Heading2"/>
        <w:rPr>
          <w:color w:val="auto"/>
        </w:rPr>
      </w:pPr>
      <w:r w:rsidRPr="00477DC3">
        <w:rPr>
          <w:color w:val="auto"/>
        </w:rPr>
        <w:t>Streets and roads</w:t>
      </w:r>
    </w:p>
    <w:p w14:paraId="48880143" w14:textId="77777777" w:rsidR="0095480D" w:rsidRPr="0095480D" w:rsidRDefault="0095480D" w:rsidP="0095480D">
      <w:pPr>
        <w:spacing w:after="0" w:line="240" w:lineRule="auto"/>
        <w:rPr>
          <w:rFonts w:ascii="Arial" w:hAnsi="Arial" w:cs="Arial"/>
          <w:sz w:val="22"/>
          <w:szCs w:val="22"/>
        </w:rPr>
      </w:pPr>
      <w:r w:rsidRPr="0095480D">
        <w:rPr>
          <w:rFonts w:ascii="Arial" w:hAnsi="Arial" w:cs="Arial"/>
          <w:sz w:val="22"/>
          <w:szCs w:val="22"/>
        </w:rPr>
        <w:t xml:space="preserve">The terms ‘streets’, ‘roads’, and ‘roadways’ are often used inter-changeably in this document, as this is common in everyday discourse. In the </w:t>
      </w:r>
      <w:r w:rsidRPr="0095480D">
        <w:rPr>
          <w:rFonts w:ascii="Arial" w:hAnsi="Arial" w:cs="Arial"/>
          <w:i/>
          <w:iCs/>
          <w:sz w:val="22"/>
          <w:szCs w:val="22"/>
        </w:rPr>
        <w:t>Land Transport Act 1998</w:t>
      </w:r>
      <w:r w:rsidRPr="0095480D">
        <w:rPr>
          <w:rFonts w:ascii="Arial" w:hAnsi="Arial" w:cs="Arial"/>
          <w:sz w:val="22"/>
          <w:szCs w:val="22"/>
        </w:rPr>
        <w:t>, the definition of ‘road’ includes ‘a street’. Historically, major movement corridors (</w:t>
      </w:r>
      <w:proofErr w:type="gramStart"/>
      <w:r w:rsidRPr="0095480D">
        <w:rPr>
          <w:rFonts w:ascii="Arial" w:hAnsi="Arial" w:cs="Arial"/>
          <w:sz w:val="22"/>
          <w:szCs w:val="22"/>
        </w:rPr>
        <w:t>e.g.</w:t>
      </w:r>
      <w:proofErr w:type="gramEnd"/>
      <w:r w:rsidRPr="0095480D">
        <w:rPr>
          <w:rFonts w:ascii="Arial" w:hAnsi="Arial" w:cs="Arial"/>
          <w:sz w:val="22"/>
          <w:szCs w:val="22"/>
        </w:rPr>
        <w:t xml:space="preserve"> between different parts of a city or between different towns) were often called roads. Streets performed a wider variety of functions for people living and working nearby. These distinctions have blurred over time. Both streets and roads are public places that can serve a wide variety of place and movement functions. These functions are explained in Waka Kotahi’s </w:t>
      </w:r>
      <w:hyperlink r:id="rId8" w:history="1">
        <w:r w:rsidRPr="0095480D">
          <w:rPr>
            <w:rStyle w:val="Hyperlink"/>
            <w:rFonts w:ascii="Arial" w:hAnsi="Arial" w:cs="Arial"/>
            <w:sz w:val="22"/>
            <w:szCs w:val="22"/>
          </w:rPr>
          <w:t>One Network Framework</w:t>
        </w:r>
      </w:hyperlink>
      <w:r w:rsidRPr="0095480D">
        <w:rPr>
          <w:rFonts w:ascii="Arial" w:hAnsi="Arial" w:cs="Arial"/>
          <w:sz w:val="22"/>
          <w:szCs w:val="22"/>
        </w:rPr>
        <w:t xml:space="preserve">. </w:t>
      </w:r>
    </w:p>
    <w:p w14:paraId="24A53963" w14:textId="77777777" w:rsidR="0095480D" w:rsidRPr="00477DC3" w:rsidRDefault="0095480D" w:rsidP="0095480D">
      <w:pPr>
        <w:pStyle w:val="Heading2"/>
        <w:rPr>
          <w:rFonts w:asciiTheme="minorHAnsi" w:hAnsiTheme="minorHAnsi" w:cstheme="minorBidi"/>
          <w:color w:val="auto"/>
        </w:rPr>
      </w:pPr>
      <w:r w:rsidRPr="00477DC3">
        <w:rPr>
          <w:color w:val="auto"/>
        </w:rPr>
        <w:t>Traffic calming devices</w:t>
      </w:r>
    </w:p>
    <w:p w14:paraId="719760D4" w14:textId="77777777" w:rsidR="0095480D" w:rsidRPr="0095480D" w:rsidRDefault="0095480D" w:rsidP="0095480D">
      <w:pPr>
        <w:tabs>
          <w:tab w:val="num" w:pos="720"/>
        </w:tabs>
        <w:rPr>
          <w:sz w:val="22"/>
          <w:szCs w:val="22"/>
        </w:rPr>
      </w:pPr>
      <w:r w:rsidRPr="0095480D">
        <w:rPr>
          <w:sz w:val="22"/>
          <w:szCs w:val="22"/>
        </w:rPr>
        <w:t xml:space="preserve">These are measures used on a road to encourage drivers to travel at an appropriate speed for their surroundings, or to discourage unnecessary through traffic. Examples include raised crossings, road humps, and objects that narrow the roadway. Modal filters can also be used as traffic calming devices. </w:t>
      </w:r>
    </w:p>
    <w:p w14:paraId="576AAB5C" w14:textId="77777777" w:rsidR="0095480D" w:rsidRPr="00477DC3" w:rsidRDefault="0095480D" w:rsidP="0095480D">
      <w:pPr>
        <w:pStyle w:val="Heading2"/>
        <w:rPr>
          <w:color w:val="auto"/>
        </w:rPr>
      </w:pPr>
      <w:r w:rsidRPr="00477DC3">
        <w:rPr>
          <w:color w:val="auto"/>
        </w:rPr>
        <w:t xml:space="preserve">Traffic control devices (TCDs) </w:t>
      </w:r>
    </w:p>
    <w:p w14:paraId="323CDC7D" w14:textId="77777777" w:rsidR="0095480D" w:rsidRPr="0095480D" w:rsidRDefault="0095480D" w:rsidP="0095480D">
      <w:pPr>
        <w:tabs>
          <w:tab w:val="num" w:pos="720"/>
        </w:tabs>
        <w:rPr>
          <w:sz w:val="22"/>
          <w:szCs w:val="22"/>
        </w:rPr>
      </w:pPr>
      <w:r w:rsidRPr="0095480D">
        <w:rPr>
          <w:sz w:val="22"/>
          <w:szCs w:val="22"/>
        </w:rPr>
        <w:t>These are devices used on a road for controlling traffic. They include signs, signals, notices, traffic calming features, and markings.</w:t>
      </w:r>
    </w:p>
    <w:p w14:paraId="63E368BF" w14:textId="77777777" w:rsidR="0095480D" w:rsidRPr="00477DC3" w:rsidRDefault="0095480D" w:rsidP="0095480D">
      <w:pPr>
        <w:pStyle w:val="Heading2"/>
        <w:rPr>
          <w:color w:val="auto"/>
        </w:rPr>
      </w:pPr>
      <w:r w:rsidRPr="00477DC3">
        <w:rPr>
          <w:color w:val="auto"/>
        </w:rPr>
        <w:t>Transport shelters</w:t>
      </w:r>
    </w:p>
    <w:p w14:paraId="34CD34FD" w14:textId="53B22E90" w:rsidR="0095480D" w:rsidRPr="0095480D" w:rsidRDefault="0095480D" w:rsidP="0095480D">
      <w:pPr>
        <w:rPr>
          <w:sz w:val="22"/>
          <w:szCs w:val="22"/>
        </w:rPr>
      </w:pPr>
      <w:r w:rsidRPr="0095480D">
        <w:rPr>
          <w:sz w:val="22"/>
          <w:szCs w:val="22"/>
        </w:rPr>
        <w:t>These are installations on streets that protect people from rain, wind, and sunshine. An example is a bus shelter.</w:t>
      </w:r>
    </w:p>
    <w:p w14:paraId="3F76A5CD" w14:textId="77777777" w:rsidR="0095480D" w:rsidRPr="0095480D" w:rsidRDefault="0095480D" w:rsidP="0095480D">
      <w:pPr>
        <w:pStyle w:val="Heading1"/>
        <w:rPr>
          <w:color w:val="auto"/>
          <w:szCs w:val="32"/>
        </w:rPr>
      </w:pPr>
      <w:bookmarkStart w:id="3" w:name="_Toc108769815"/>
      <w:r w:rsidRPr="0095480D">
        <w:rPr>
          <w:color w:val="auto"/>
        </w:rPr>
        <w:lastRenderedPageBreak/>
        <w:t>Abbreviations</w:t>
      </w:r>
      <w:bookmarkEnd w:id="3"/>
      <w:r w:rsidRPr="0095480D">
        <w:rPr>
          <w:color w:val="auto"/>
          <w:szCs w:val="32"/>
        </w:rPr>
        <w:t xml:space="preserve"> </w:t>
      </w:r>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098"/>
      </w:tblGrid>
      <w:tr w:rsidR="0095480D" w14:paraId="340C5D14" w14:textId="77777777" w:rsidTr="00933592">
        <w:tc>
          <w:tcPr>
            <w:tcW w:w="1134" w:type="dxa"/>
            <w:hideMark/>
          </w:tcPr>
          <w:p w14:paraId="45C385C9" w14:textId="77777777" w:rsidR="0095480D" w:rsidRDefault="0095480D" w:rsidP="00933592">
            <w:pPr>
              <w:spacing w:before="60" w:afterLines="60" w:after="144" w:line="240" w:lineRule="auto"/>
            </w:pPr>
            <w:r>
              <w:t>ERP</w:t>
            </w:r>
          </w:p>
        </w:tc>
        <w:tc>
          <w:tcPr>
            <w:tcW w:w="5098" w:type="dxa"/>
            <w:hideMark/>
          </w:tcPr>
          <w:p w14:paraId="78F04177" w14:textId="77777777" w:rsidR="0095480D" w:rsidRDefault="0095480D" w:rsidP="00933592">
            <w:pPr>
              <w:spacing w:before="60" w:afterLines="60" w:after="144" w:line="240" w:lineRule="auto"/>
            </w:pPr>
            <w:r>
              <w:t>Emissions Reduction Plan</w:t>
            </w:r>
          </w:p>
        </w:tc>
      </w:tr>
      <w:tr w:rsidR="0095480D" w14:paraId="49E6B9C3" w14:textId="77777777" w:rsidTr="00933592">
        <w:tc>
          <w:tcPr>
            <w:tcW w:w="1134" w:type="dxa"/>
            <w:hideMark/>
          </w:tcPr>
          <w:p w14:paraId="595BA301" w14:textId="77777777" w:rsidR="0095480D" w:rsidRDefault="0095480D" w:rsidP="00933592">
            <w:pPr>
              <w:spacing w:before="60" w:afterLines="60" w:after="144" w:line="240" w:lineRule="auto"/>
            </w:pPr>
            <w:r>
              <w:t>LGA1974</w:t>
            </w:r>
          </w:p>
        </w:tc>
        <w:tc>
          <w:tcPr>
            <w:tcW w:w="5098" w:type="dxa"/>
            <w:hideMark/>
          </w:tcPr>
          <w:p w14:paraId="2B8935EE" w14:textId="77777777" w:rsidR="0095480D" w:rsidRDefault="0095480D" w:rsidP="00933592">
            <w:pPr>
              <w:spacing w:before="60" w:afterLines="60" w:after="144" w:line="240" w:lineRule="auto"/>
            </w:pPr>
            <w:r>
              <w:t>Local Government Act 1974</w:t>
            </w:r>
          </w:p>
        </w:tc>
      </w:tr>
      <w:tr w:rsidR="0095480D" w14:paraId="5061FEE1" w14:textId="77777777" w:rsidTr="00933592">
        <w:tc>
          <w:tcPr>
            <w:tcW w:w="1134" w:type="dxa"/>
            <w:hideMark/>
          </w:tcPr>
          <w:p w14:paraId="33714090" w14:textId="77777777" w:rsidR="0095480D" w:rsidRDefault="0095480D" w:rsidP="00933592">
            <w:pPr>
              <w:spacing w:before="60" w:afterLines="60" w:after="144" w:line="240" w:lineRule="auto"/>
            </w:pPr>
            <w:r>
              <w:t>LGA2002</w:t>
            </w:r>
          </w:p>
        </w:tc>
        <w:tc>
          <w:tcPr>
            <w:tcW w:w="5098" w:type="dxa"/>
            <w:hideMark/>
          </w:tcPr>
          <w:p w14:paraId="1AC69C2C" w14:textId="77777777" w:rsidR="0095480D" w:rsidRDefault="0095480D" w:rsidP="00933592">
            <w:pPr>
              <w:spacing w:before="60" w:afterLines="60" w:after="144" w:line="240" w:lineRule="auto"/>
            </w:pPr>
            <w:r>
              <w:t>Local Government Act 2002</w:t>
            </w:r>
          </w:p>
        </w:tc>
      </w:tr>
      <w:tr w:rsidR="0095480D" w14:paraId="363044FB" w14:textId="77777777" w:rsidTr="00933592">
        <w:tc>
          <w:tcPr>
            <w:tcW w:w="1134" w:type="dxa"/>
            <w:hideMark/>
          </w:tcPr>
          <w:p w14:paraId="5A7BCEBC" w14:textId="77777777" w:rsidR="0095480D" w:rsidRDefault="0095480D" w:rsidP="00933592">
            <w:pPr>
              <w:spacing w:before="60" w:afterLines="60" w:after="144" w:line="240" w:lineRule="auto"/>
            </w:pPr>
            <w:r>
              <w:t>LTA1998</w:t>
            </w:r>
          </w:p>
        </w:tc>
        <w:tc>
          <w:tcPr>
            <w:tcW w:w="5098" w:type="dxa"/>
            <w:hideMark/>
          </w:tcPr>
          <w:p w14:paraId="5AB6E9B2" w14:textId="77777777" w:rsidR="0095480D" w:rsidRDefault="0095480D" w:rsidP="00933592">
            <w:pPr>
              <w:spacing w:before="60" w:afterLines="60" w:after="144" w:line="240" w:lineRule="auto"/>
            </w:pPr>
            <w:r>
              <w:t>Land Transport Act 1998</w:t>
            </w:r>
          </w:p>
        </w:tc>
      </w:tr>
      <w:tr w:rsidR="0095480D" w14:paraId="4FC86222" w14:textId="77777777" w:rsidTr="00933592">
        <w:tc>
          <w:tcPr>
            <w:tcW w:w="1134" w:type="dxa"/>
            <w:hideMark/>
          </w:tcPr>
          <w:p w14:paraId="74D31990" w14:textId="77777777" w:rsidR="0095480D" w:rsidRDefault="0095480D" w:rsidP="00933592">
            <w:pPr>
              <w:spacing w:before="60" w:afterLines="60" w:after="144" w:line="240" w:lineRule="auto"/>
              <w:rPr>
                <w:color w:val="19456B" w:themeColor="background2"/>
                <w:sz w:val="32"/>
                <w:szCs w:val="32"/>
              </w:rPr>
            </w:pPr>
            <w:r>
              <w:t>RCA</w:t>
            </w:r>
          </w:p>
        </w:tc>
        <w:tc>
          <w:tcPr>
            <w:tcW w:w="5098" w:type="dxa"/>
            <w:hideMark/>
          </w:tcPr>
          <w:p w14:paraId="618894FC" w14:textId="77777777" w:rsidR="0095480D" w:rsidRDefault="0095480D" w:rsidP="00933592">
            <w:pPr>
              <w:spacing w:before="60" w:afterLines="60" w:after="144" w:line="240" w:lineRule="auto"/>
              <w:rPr>
                <w:color w:val="19456B" w:themeColor="background2"/>
                <w:sz w:val="32"/>
                <w:szCs w:val="32"/>
              </w:rPr>
            </w:pPr>
            <w:r>
              <w:t>Road Controlling Authority</w:t>
            </w:r>
          </w:p>
        </w:tc>
      </w:tr>
      <w:tr w:rsidR="0095480D" w14:paraId="7AC09C8F" w14:textId="77777777" w:rsidTr="00933592">
        <w:tc>
          <w:tcPr>
            <w:tcW w:w="1134" w:type="dxa"/>
            <w:hideMark/>
          </w:tcPr>
          <w:p w14:paraId="5569A358" w14:textId="77777777" w:rsidR="0095480D" w:rsidRDefault="0095480D" w:rsidP="00933592">
            <w:pPr>
              <w:spacing w:before="60" w:afterLines="60" w:after="144" w:line="240" w:lineRule="auto"/>
              <w:rPr>
                <w:color w:val="19456B" w:themeColor="background2"/>
                <w:sz w:val="32"/>
                <w:szCs w:val="32"/>
              </w:rPr>
            </w:pPr>
            <w:r>
              <w:t>TCD</w:t>
            </w:r>
          </w:p>
        </w:tc>
        <w:tc>
          <w:tcPr>
            <w:tcW w:w="5098" w:type="dxa"/>
            <w:hideMark/>
          </w:tcPr>
          <w:p w14:paraId="50AC3D83" w14:textId="77777777" w:rsidR="0095480D" w:rsidRDefault="0095480D" w:rsidP="00933592">
            <w:pPr>
              <w:tabs>
                <w:tab w:val="left" w:pos="3621"/>
              </w:tabs>
              <w:spacing w:before="60" w:afterLines="60" w:after="144" w:line="240" w:lineRule="auto"/>
              <w:rPr>
                <w:color w:val="19456B" w:themeColor="background2"/>
                <w:sz w:val="32"/>
                <w:szCs w:val="32"/>
              </w:rPr>
            </w:pPr>
            <w:r>
              <w:t>Traffic Control Device</w:t>
            </w:r>
          </w:p>
        </w:tc>
      </w:tr>
    </w:tbl>
    <w:p w14:paraId="5644D99E" w14:textId="77777777" w:rsidR="00A90AAE" w:rsidRPr="00A90AAE" w:rsidRDefault="00A90AAE" w:rsidP="00A90AAE">
      <w:pPr>
        <w:pStyle w:val="List"/>
        <w:numPr>
          <w:ilvl w:val="0"/>
          <w:numId w:val="0"/>
        </w:numPr>
        <w:ind w:left="357" w:hanging="357"/>
        <w:rPr>
          <w:rFonts w:asciiTheme="majorHAnsi" w:hAnsiTheme="majorHAnsi" w:cstheme="majorHAnsi"/>
        </w:rPr>
      </w:pPr>
    </w:p>
    <w:p w14:paraId="2A5D5665" w14:textId="77777777" w:rsidR="00D14837" w:rsidRPr="00D14837" w:rsidRDefault="00D14837" w:rsidP="00A90AAE">
      <w:pPr>
        <w:pStyle w:val="List"/>
        <w:numPr>
          <w:ilvl w:val="0"/>
          <w:numId w:val="0"/>
        </w:numPr>
        <w:rPr>
          <w:rFonts w:asciiTheme="majorHAnsi" w:hAnsiTheme="majorHAnsi" w:cstheme="majorHAnsi"/>
        </w:rPr>
      </w:pPr>
    </w:p>
    <w:p w14:paraId="6995B68F" w14:textId="77777777" w:rsidR="00BE5F44" w:rsidRDefault="00BE5F44" w:rsidP="00724A09">
      <w:pPr>
        <w:rPr>
          <w:rFonts w:asciiTheme="majorHAnsi" w:hAnsiTheme="majorHAnsi" w:cstheme="majorHAnsi"/>
        </w:rPr>
      </w:pPr>
    </w:p>
    <w:p w14:paraId="2F8985DC" w14:textId="77777777" w:rsidR="00D44EA8" w:rsidRDefault="00D44EA8" w:rsidP="00724A09">
      <w:pPr>
        <w:rPr>
          <w:rFonts w:asciiTheme="majorHAnsi" w:hAnsiTheme="majorHAnsi" w:cstheme="majorHAnsi"/>
        </w:rPr>
      </w:pPr>
    </w:p>
    <w:p w14:paraId="49E110B4" w14:textId="77777777" w:rsidR="00D44EA8" w:rsidRPr="00492A50" w:rsidRDefault="00D44EA8" w:rsidP="00724A09">
      <w:pPr>
        <w:rPr>
          <w:rFonts w:asciiTheme="majorHAnsi" w:hAnsiTheme="majorHAnsi" w:cstheme="majorHAnsi"/>
        </w:rPr>
      </w:pPr>
    </w:p>
    <w:sectPr w:rsidR="00D44EA8" w:rsidRPr="00492A50" w:rsidSect="00A90AAE">
      <w:footerReference w:type="default" r:id="rId9"/>
      <w:footerReference w:type="first" r:id="rId10"/>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61F4" w14:textId="77777777" w:rsidR="0095480D" w:rsidRDefault="0095480D" w:rsidP="002A6A89">
      <w:pPr>
        <w:spacing w:after="0" w:line="240" w:lineRule="auto"/>
      </w:pPr>
      <w:r>
        <w:separator/>
      </w:r>
    </w:p>
  </w:endnote>
  <w:endnote w:type="continuationSeparator" w:id="0">
    <w:p w14:paraId="23EDAB28" w14:textId="77777777" w:rsidR="0095480D" w:rsidRDefault="0095480D"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9B7D" w14:textId="77777777" w:rsidR="00D44EA8" w:rsidRPr="00245A46" w:rsidRDefault="00D44EA8" w:rsidP="00D44EA8">
    <w:pPr>
      <w:pStyle w:val="Footer2"/>
    </w:pPr>
  </w:p>
  <w:p w14:paraId="0C7D0213" w14:textId="6AE7F609" w:rsidR="00D407A5" w:rsidRPr="00D44EA8" w:rsidRDefault="00D44EA8" w:rsidP="00D44EA8">
    <w:pPr>
      <w:pStyle w:val="Footer2"/>
      <w:rPr>
        <w:szCs w:val="16"/>
      </w:rPr>
    </w:pPr>
    <w:r w:rsidRPr="00245A46">
      <w:rPr>
        <w:szCs w:val="16"/>
      </w:rPr>
      <w:tab/>
    </w:r>
    <w:r w:rsidRPr="00245A46">
      <w:rPr>
        <w:szCs w:val="16"/>
      </w:rPr>
      <w:tab/>
    </w:r>
    <w:r w:rsidRPr="00245A46">
      <w:rPr>
        <w:szCs w:val="16"/>
      </w:rPr>
      <w:tab/>
    </w:r>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95480D">
          <w:rPr>
            <w:szCs w:val="16"/>
          </w:rPr>
          <w:t>Reshaping Streets regulatory changes</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8C04" w14:textId="77777777" w:rsidR="00433C06" w:rsidRDefault="00433C06">
    <w:pPr>
      <w:pStyle w:val="Footer"/>
      <w:rPr>
        <w:rFonts w:asciiTheme="minorHAnsi" w:hAnsiTheme="minorHAnsi"/>
        <w:caps w:val="0"/>
        <w:color w:val="auto"/>
        <w:sz w:val="20"/>
      </w:rPr>
    </w:pPr>
  </w:p>
  <w:p w14:paraId="1DB72064"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1F53" w14:textId="77777777" w:rsidR="0095480D" w:rsidRDefault="0095480D" w:rsidP="002A6A89">
      <w:pPr>
        <w:spacing w:after="0" w:line="240" w:lineRule="auto"/>
      </w:pPr>
      <w:r>
        <w:separator/>
      </w:r>
    </w:p>
  </w:footnote>
  <w:footnote w:type="continuationSeparator" w:id="0">
    <w:p w14:paraId="4A93650B" w14:textId="77777777" w:rsidR="0095480D" w:rsidRDefault="0095480D"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6"/>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1"/>
  </w:num>
  <w:num w:numId="9">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0"/>
  </w:num>
  <w:num w:numId="13">
    <w:abstractNumId w:val="19"/>
  </w:num>
  <w:num w:numId="14">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num>
  <w:num w:numId="24">
    <w:abstractNumId w:val="7"/>
  </w:num>
  <w:num w:numId="25">
    <w:abstractNumId w:val="15"/>
  </w:num>
  <w:num w:numId="26">
    <w:abstractNumId w:val="6"/>
  </w:num>
  <w:num w:numId="27">
    <w:abstractNumId w:val="9"/>
  </w:num>
  <w:num w:numId="28">
    <w:abstractNumId w:val="13"/>
  </w:num>
  <w:num w:numId="29">
    <w:abstractNumId w:val="14"/>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0D"/>
    <w:rsid w:val="00032023"/>
    <w:rsid w:val="000369F7"/>
    <w:rsid w:val="00057E8D"/>
    <w:rsid w:val="00061681"/>
    <w:rsid w:val="0007104C"/>
    <w:rsid w:val="00071EBA"/>
    <w:rsid w:val="00075EFB"/>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6D21"/>
    <w:rsid w:val="007F7BA5"/>
    <w:rsid w:val="00801544"/>
    <w:rsid w:val="00814509"/>
    <w:rsid w:val="008629B5"/>
    <w:rsid w:val="00865866"/>
    <w:rsid w:val="008901D5"/>
    <w:rsid w:val="00891102"/>
    <w:rsid w:val="008A4704"/>
    <w:rsid w:val="008C496A"/>
    <w:rsid w:val="008E7C8B"/>
    <w:rsid w:val="00902184"/>
    <w:rsid w:val="009245CA"/>
    <w:rsid w:val="00937E11"/>
    <w:rsid w:val="0095480D"/>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2F3D"/>
    <w:rsid w:val="00DF3D33"/>
    <w:rsid w:val="00E36BD0"/>
    <w:rsid w:val="00E833C9"/>
    <w:rsid w:val="00EE0856"/>
    <w:rsid w:val="00EE10DC"/>
    <w:rsid w:val="00EE5963"/>
    <w:rsid w:val="00EE6355"/>
    <w:rsid w:val="00F02999"/>
    <w:rsid w:val="00F04283"/>
    <w:rsid w:val="00F269F2"/>
    <w:rsid w:val="00F313FA"/>
    <w:rsid w:val="00F3271F"/>
    <w:rsid w:val="00F45CB1"/>
    <w:rsid w:val="00F715D1"/>
    <w:rsid w:val="00F720A0"/>
    <w:rsid w:val="00F74EEC"/>
    <w:rsid w:val="00F814E9"/>
    <w:rsid w:val="00F86D0D"/>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8988"/>
  <w15:docId w15:val="{643B1234-4118-4C16-A292-E8BFEA12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21"/>
    <w:pPr>
      <w:spacing w:line="264" w:lineRule="auto"/>
    </w:pPr>
  </w:style>
  <w:style w:type="paragraph" w:styleId="Heading1">
    <w:name w:val="heading 1"/>
    <w:basedOn w:val="Normal"/>
    <w:next w:val="Normal"/>
    <w:link w:val="Heading1Char"/>
    <w:uiPriority w:val="5"/>
    <w:qFormat/>
    <w:rsid w:val="007F6D21"/>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7F6D21"/>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7F6D21"/>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
    <w:uiPriority w:val="48"/>
    <w:rsid w:val="007F6D21"/>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7F6D2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7F6D21"/>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7F6D21"/>
    <w:pPr>
      <w:numPr>
        <w:numId w:val="1"/>
      </w:numPr>
      <w:contextualSpacing/>
    </w:pPr>
  </w:style>
  <w:style w:type="paragraph" w:styleId="Header">
    <w:name w:val="header"/>
    <w:basedOn w:val="Normal"/>
    <w:link w:val="HeaderChar"/>
    <w:uiPriority w:val="99"/>
    <w:unhideWhenUsed/>
    <w:rsid w:val="007F6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21"/>
  </w:style>
  <w:style w:type="paragraph" w:styleId="Footer">
    <w:name w:val="footer"/>
    <w:basedOn w:val="Normal"/>
    <w:link w:val="FooterChar"/>
    <w:uiPriority w:val="98"/>
    <w:unhideWhenUsed/>
    <w:rsid w:val="007F6D21"/>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7F6D21"/>
    <w:rPr>
      <w:rFonts w:ascii="Arial" w:hAnsi="Arial"/>
      <w:caps/>
      <w:color w:val="2575AE" w:themeColor="accent1"/>
      <w:sz w:val="16"/>
    </w:rPr>
  </w:style>
  <w:style w:type="paragraph" w:styleId="Title">
    <w:name w:val="Title"/>
    <w:basedOn w:val="Normal"/>
    <w:next w:val="Normal"/>
    <w:link w:val="TitleChar"/>
    <w:uiPriority w:val="4"/>
    <w:qFormat/>
    <w:rsid w:val="007F6D21"/>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7F6D21"/>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7F6D21"/>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7F6D21"/>
    <w:rPr>
      <w:rFonts w:eastAsiaTheme="minorEastAsia"/>
      <w:color w:val="2575AE" w:themeColor="accent1"/>
      <w:sz w:val="32"/>
      <w:szCs w:val="32"/>
    </w:rPr>
  </w:style>
  <w:style w:type="paragraph" w:customStyle="1" w:styleId="Details">
    <w:name w:val="Details"/>
    <w:basedOn w:val="Normal"/>
    <w:uiPriority w:val="97"/>
    <w:qFormat/>
    <w:rsid w:val="007F6D21"/>
    <w:rPr>
      <w:color w:val="19456B" w:themeColor="background2"/>
    </w:rPr>
  </w:style>
  <w:style w:type="character" w:styleId="Hyperlink">
    <w:name w:val="Hyperlink"/>
    <w:basedOn w:val="DefaultParagraphFont"/>
    <w:uiPriority w:val="99"/>
    <w:unhideWhenUsed/>
    <w:rsid w:val="007F6D21"/>
    <w:rPr>
      <w:color w:val="0563C1" w:themeColor="hyperlink"/>
      <w:u w:val="single"/>
    </w:rPr>
  </w:style>
  <w:style w:type="character" w:customStyle="1" w:styleId="Heading1Char">
    <w:name w:val="Heading 1 Char"/>
    <w:basedOn w:val="DefaultParagraphFont"/>
    <w:link w:val="Heading1"/>
    <w:uiPriority w:val="5"/>
    <w:rsid w:val="007F6D21"/>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7F6D21"/>
    <w:pPr>
      <w:spacing w:after="100"/>
      <w:ind w:left="1600"/>
    </w:pPr>
  </w:style>
  <w:style w:type="character" w:customStyle="1" w:styleId="Heading2Char">
    <w:name w:val="Heading 2 Char"/>
    <w:basedOn w:val="DefaultParagraphFont"/>
    <w:link w:val="Heading2"/>
    <w:uiPriority w:val="5"/>
    <w:rsid w:val="007F6D21"/>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7F6D21"/>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7F6D21"/>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7F6D21"/>
    <w:pPr>
      <w:outlineLvl w:val="9"/>
    </w:pPr>
    <w:rPr>
      <w:color w:val="19456B" w:themeColor="background2"/>
      <w:sz w:val="20"/>
      <w:lang w:val="en-US"/>
    </w:rPr>
  </w:style>
  <w:style w:type="paragraph" w:styleId="ListParagraph">
    <w:name w:val="List Paragraph"/>
    <w:basedOn w:val="Normal"/>
    <w:uiPriority w:val="34"/>
    <w:qFormat/>
    <w:rsid w:val="007F6D21"/>
    <w:pPr>
      <w:ind w:left="720"/>
      <w:contextualSpacing/>
    </w:pPr>
  </w:style>
  <w:style w:type="paragraph" w:styleId="List">
    <w:name w:val="List"/>
    <w:basedOn w:val="Normal"/>
    <w:uiPriority w:val="99"/>
    <w:semiHidden/>
    <w:rsid w:val="007F6D21"/>
    <w:pPr>
      <w:numPr>
        <w:numId w:val="16"/>
      </w:numPr>
    </w:pPr>
  </w:style>
  <w:style w:type="paragraph" w:styleId="List2">
    <w:name w:val="List 2"/>
    <w:basedOn w:val="Normal"/>
    <w:uiPriority w:val="7"/>
    <w:rsid w:val="007F6D21"/>
    <w:pPr>
      <w:numPr>
        <w:ilvl w:val="1"/>
        <w:numId w:val="16"/>
      </w:numPr>
    </w:pPr>
  </w:style>
  <w:style w:type="paragraph" w:styleId="ListBullet">
    <w:name w:val="List Bullet"/>
    <w:basedOn w:val="Normal"/>
    <w:uiPriority w:val="7"/>
    <w:rsid w:val="007F6D21"/>
    <w:pPr>
      <w:numPr>
        <w:numId w:val="4"/>
      </w:numPr>
      <w:tabs>
        <w:tab w:val="clear" w:pos="360"/>
      </w:tabs>
      <w:ind w:left="284" w:hanging="284"/>
    </w:pPr>
  </w:style>
  <w:style w:type="paragraph" w:styleId="ListBullet2">
    <w:name w:val="List Bullet 2"/>
    <w:basedOn w:val="Normal"/>
    <w:uiPriority w:val="7"/>
    <w:rsid w:val="007F6D21"/>
    <w:pPr>
      <w:numPr>
        <w:numId w:val="5"/>
      </w:numPr>
      <w:ind w:left="567" w:hanging="283"/>
    </w:pPr>
  </w:style>
  <w:style w:type="table" w:styleId="TableGrid">
    <w:name w:val="Table Grid"/>
    <w:basedOn w:val="TableNormal"/>
    <w:uiPriority w:val="39"/>
    <w:rsid w:val="007F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7F6D21"/>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7F6D21"/>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7F6D21"/>
    <w:rPr>
      <w:color w:val="808080"/>
    </w:rPr>
  </w:style>
  <w:style w:type="table" w:customStyle="1" w:styleId="TableGridLight1">
    <w:name w:val="Table Grid Light1"/>
    <w:basedOn w:val="TableNormal"/>
    <w:uiPriority w:val="40"/>
    <w:rsid w:val="007F6D21"/>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7F6D21"/>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7F6D21"/>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7F6D21"/>
    <w:pPr>
      <w:numPr>
        <w:ilvl w:val="2"/>
        <w:numId w:val="13"/>
      </w:numPr>
      <w:spacing w:before="240"/>
      <w:contextualSpacing/>
    </w:pPr>
    <w:rPr>
      <w:b/>
    </w:rPr>
  </w:style>
  <w:style w:type="paragraph" w:styleId="TOC2">
    <w:name w:val="toc 2"/>
    <w:basedOn w:val="Normal"/>
    <w:next w:val="Normal"/>
    <w:autoRedefine/>
    <w:uiPriority w:val="39"/>
    <w:unhideWhenUsed/>
    <w:rsid w:val="007F6D21"/>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7F6D21"/>
    <w:pPr>
      <w:spacing w:after="100"/>
      <w:ind w:left="400"/>
    </w:pPr>
  </w:style>
  <w:style w:type="paragraph" w:styleId="NoSpacing">
    <w:name w:val="No Spacing"/>
    <w:uiPriority w:val="1"/>
    <w:qFormat/>
    <w:rsid w:val="007F6D21"/>
    <w:pPr>
      <w:spacing w:after="0" w:line="240" w:lineRule="auto"/>
    </w:pPr>
  </w:style>
  <w:style w:type="paragraph" w:customStyle="1" w:styleId="InformationPageNormal">
    <w:name w:val="Information Page Normal"/>
    <w:uiPriority w:val="1"/>
    <w:qFormat/>
    <w:rsid w:val="007F6D21"/>
    <w:pPr>
      <w:ind w:right="-1418"/>
    </w:pPr>
  </w:style>
  <w:style w:type="paragraph" w:customStyle="1" w:styleId="ListNumbering">
    <w:name w:val="List Numbering"/>
    <w:basedOn w:val="ListBullet"/>
    <w:uiPriority w:val="6"/>
    <w:qFormat/>
    <w:rsid w:val="007F6D21"/>
    <w:pPr>
      <w:numPr>
        <w:numId w:val="23"/>
      </w:numPr>
    </w:pPr>
  </w:style>
  <w:style w:type="paragraph" w:styleId="BalloonText">
    <w:name w:val="Balloon Text"/>
    <w:basedOn w:val="Normal"/>
    <w:link w:val="BalloonTextChar"/>
    <w:uiPriority w:val="99"/>
    <w:semiHidden/>
    <w:unhideWhenUsed/>
    <w:rsid w:val="007F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21"/>
    <w:rPr>
      <w:rFonts w:ascii="Tahoma" w:hAnsi="Tahoma" w:cs="Tahoma"/>
      <w:sz w:val="16"/>
      <w:szCs w:val="16"/>
    </w:rPr>
  </w:style>
  <w:style w:type="table" w:customStyle="1" w:styleId="GridTableLight1">
    <w:name w:val="Grid Table Light1"/>
    <w:basedOn w:val="TableNormal"/>
    <w:uiPriority w:val="40"/>
    <w:rsid w:val="007F6D2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7F6D21"/>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7F6D21"/>
    <w:rPr>
      <w:rFonts w:eastAsia="Times New Roman" w:cs="Times New Roman"/>
      <w:szCs w:val="24"/>
      <w:lang w:eastAsia="en-GB"/>
    </w:rPr>
  </w:style>
  <w:style w:type="paragraph" w:customStyle="1" w:styleId="Contactinfo">
    <w:name w:val="Contact info"/>
    <w:basedOn w:val="Normal"/>
    <w:semiHidden/>
    <w:locked/>
    <w:rsid w:val="007F6D21"/>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7F6D21"/>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7F6D21"/>
    <w:pPr>
      <w:spacing w:after="0" w:line="240" w:lineRule="auto"/>
    </w:pPr>
  </w:style>
  <w:style w:type="character" w:customStyle="1" w:styleId="FootnoteTextChar">
    <w:name w:val="Footnote Text Char"/>
    <w:basedOn w:val="DefaultParagraphFont"/>
    <w:link w:val="FootnoteText"/>
    <w:uiPriority w:val="99"/>
    <w:semiHidden/>
    <w:rsid w:val="007F6D21"/>
  </w:style>
  <w:style w:type="character" w:styleId="FootnoteReference">
    <w:name w:val="footnote reference"/>
    <w:basedOn w:val="DefaultParagraphFont"/>
    <w:uiPriority w:val="99"/>
    <w:semiHidden/>
    <w:unhideWhenUsed/>
    <w:rsid w:val="007F6D21"/>
    <w:rPr>
      <w:vertAlign w:val="superscript"/>
    </w:rPr>
  </w:style>
  <w:style w:type="table" w:styleId="ListTable3-Accent1">
    <w:name w:val="List Table 3 Accent 1"/>
    <w:basedOn w:val="TableNormal"/>
    <w:uiPriority w:val="48"/>
    <w:rsid w:val="007F6D2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7F6D21"/>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7F6D21"/>
    <w:rPr>
      <w:rFonts w:ascii="Arial" w:hAnsi="Arial"/>
      <w:color w:val="000000" w:themeColor="text1"/>
      <w:sz w:val="16"/>
    </w:rPr>
  </w:style>
  <w:style w:type="character" w:customStyle="1" w:styleId="Footer2Char">
    <w:name w:val="Footer 2 Char"/>
    <w:basedOn w:val="DefaultParagraphFont"/>
    <w:link w:val="Footer2"/>
    <w:rsid w:val="007F6D21"/>
    <w:rPr>
      <w:rFonts w:ascii="Arial" w:hAnsi="Arial"/>
      <w:color w:val="000000" w:themeColor="text1"/>
      <w:sz w:val="16"/>
    </w:rPr>
  </w:style>
  <w:style w:type="character" w:styleId="UnresolvedMention">
    <w:name w:val="Unresolved Mention"/>
    <w:basedOn w:val="DefaultParagraphFont"/>
    <w:uiPriority w:val="99"/>
    <w:semiHidden/>
    <w:unhideWhenUsed/>
    <w:rsid w:val="000E379C"/>
    <w:rPr>
      <w:color w:val="605E5C"/>
      <w:shd w:val="clear" w:color="auto" w:fill="E1DFDD"/>
    </w:rPr>
  </w:style>
  <w:style w:type="character" w:styleId="SubtleReference">
    <w:name w:val="Subtle Reference"/>
    <w:basedOn w:val="DefaultParagraphFont"/>
    <w:uiPriority w:val="31"/>
    <w:qFormat/>
    <w:rsid w:val="00A90AAE"/>
    <w:rPr>
      <w:caps w:val="0"/>
      <w:smallCaps w:val="0"/>
      <w:color w:val="5A5A5A" w:themeColor="text1" w:themeTint="A5"/>
    </w:rPr>
  </w:style>
  <w:style w:type="character" w:styleId="IntenseReference">
    <w:name w:val="Intense Reference"/>
    <w:basedOn w:val="DefaultParagraphFont"/>
    <w:uiPriority w:val="32"/>
    <w:qFormat/>
    <w:rsid w:val="00A90AAE"/>
    <w:rPr>
      <w:b/>
      <w:bCs/>
      <w:caps w:val="0"/>
      <w:smallCaps w:val="0"/>
      <w:color w:val="2575AE" w:themeColor="accent1"/>
      <w:spacing w:val="5"/>
    </w:rPr>
  </w:style>
  <w:style w:type="character" w:styleId="IntenseEmphasis">
    <w:name w:val="Intense Emphasis"/>
    <w:basedOn w:val="DefaultParagraphFont"/>
    <w:uiPriority w:val="21"/>
    <w:qFormat/>
    <w:rsid w:val="003E3679"/>
    <w:rPr>
      <w:i/>
      <w:iCs/>
      <w:color w:val="2575AE" w:themeColor="accent1"/>
    </w:rPr>
  </w:style>
  <w:style w:type="table" w:customStyle="1" w:styleId="TableGrid4">
    <w:name w:val="Table Grid4"/>
    <w:basedOn w:val="TableNormal"/>
    <w:uiPriority w:val="39"/>
    <w:rsid w:val="009548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ta.govt.nz/planning-and-investment/planning/one-network-framework/about-the-on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W10_Templates\Waka%20Kotahi%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8BBD347164C83949FEF9D008F3548"/>
        <w:category>
          <w:name w:val="General"/>
          <w:gallery w:val="placeholder"/>
        </w:category>
        <w:types>
          <w:type w:val="bbPlcHdr"/>
        </w:types>
        <w:behaviors>
          <w:behavior w:val="content"/>
        </w:behaviors>
        <w:guid w:val="{890D21F7-825E-4307-9906-56A4D578F66C}"/>
      </w:docPartPr>
      <w:docPartBody>
        <w:p w:rsidR="00000000" w:rsidRDefault="00367163">
          <w:pPr>
            <w:pStyle w:val="5DF8BBD347164C83949FEF9D008F3548"/>
          </w:pPr>
          <w:r w:rsidRPr="002D125C">
            <w:rPr>
              <w:rStyle w:val="PlaceholderText"/>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F8BBD347164C83949FEF9D008F3548">
    <w:name w:val="5DF8BBD347164C83949FEF9D008F3548"/>
  </w:style>
  <w:style w:type="paragraph" w:customStyle="1" w:styleId="FCEB4CF2C74A4E05A3A643E33FB85469">
    <w:name w:val="FCEB4CF2C74A4E05A3A643E33FB85469"/>
  </w:style>
  <w:style w:type="paragraph" w:customStyle="1" w:styleId="1F1FA06155714F0989ED0127AC1D19C3">
    <w:name w:val="1F1FA06155714F0989ED0127AC1D19C3"/>
  </w:style>
  <w:style w:type="paragraph" w:customStyle="1" w:styleId="2D279D4D57BF4AEF8B73CD8B6EB69DA4">
    <w:name w:val="2D279D4D57BF4AEF8B73CD8B6EB69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E35C-E5DD-45EC-8625-A5125139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template.dotm</Template>
  <TotalTime>4</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Reshaping Streets regulatory changes</dc:title>
  <dc:creator>Gemma Forlong</dc:creator>
  <dc:description>Created by www.allfields.co.nz</dc:description>
  <cp:lastModifiedBy>Gemma Forlong</cp:lastModifiedBy>
  <cp:revision>1</cp:revision>
  <dcterms:created xsi:type="dcterms:W3CDTF">2022-08-03T19:57:00Z</dcterms:created>
  <dcterms:modified xsi:type="dcterms:W3CDTF">2022-08-03T20:02:00Z</dcterms:modified>
</cp:coreProperties>
</file>