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F5" w:rsidRPr="000F71F5" w:rsidRDefault="000F71F5" w:rsidP="000F71F5">
      <w:pPr>
        <w:spacing w:before="75" w:after="100" w:afterAutospacing="1" w:line="390" w:lineRule="atLeast"/>
        <w:outlineLvl w:val="0"/>
        <w:rPr>
          <w:rFonts w:eastAsia="Times New Roman" w:cs="Lucida Sans"/>
          <w:kern w:val="36"/>
          <w:sz w:val="32"/>
          <w:szCs w:val="32"/>
          <w:lang w:eastAsia="en-NZ"/>
        </w:rPr>
      </w:pPr>
      <w:r w:rsidRPr="000F71F5">
        <w:rPr>
          <w:rFonts w:eastAsia="Times New Roman" w:cs="Lucida Sans"/>
          <w:kern w:val="36"/>
          <w:sz w:val="32"/>
          <w:szCs w:val="32"/>
          <w:lang w:eastAsia="en-NZ"/>
        </w:rPr>
        <w:t>Determining territorial authority base and construction rates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687"/>
      </w:tblGrid>
      <w:tr w:rsidR="000F71F5" w:rsidRPr="000F71F5" w:rsidTr="000F71F5">
        <w:trPr>
          <w:tblCellSpacing w:w="0" w:type="dxa"/>
        </w:trPr>
        <w:tc>
          <w:tcPr>
            <w:tcW w:w="2100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Lucida Sans"/>
                <w:b/>
                <w:bCs/>
                <w:szCs w:val="20"/>
                <w:lang w:eastAsia="en-NZ"/>
              </w:rPr>
            </w:pPr>
            <w:r w:rsidRPr="000F71F5">
              <w:rPr>
                <w:rFonts w:eastAsia="Times New Roman" w:cs="Lucida Sans"/>
                <w:b/>
                <w:bCs/>
                <w:szCs w:val="20"/>
                <w:lang w:eastAsia="en-NZ"/>
              </w:rPr>
              <w:t>Introduction</w:t>
            </w:r>
          </w:p>
        </w:tc>
        <w:tc>
          <w:tcPr>
            <w:tcW w:w="7740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This section describes the process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prior to the 2015-18 National Land Transport Programme (NLTP) 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for determining the Territorial Authority </w:t>
            </w:r>
            <w:r w:rsidRPr="000F71F5">
              <w:rPr>
                <w:rFonts w:eastAsia="Times New Roman" w:cs="Lucida Sans"/>
                <w:vanish/>
                <w:sz w:val="18"/>
                <w:szCs w:val="18"/>
                <w:bdr w:val="single" w:sz="12" w:space="4" w:color="CCCCCC" w:frame="1"/>
                <w:shd w:val="clear" w:color="auto" w:fill="E7E7E7"/>
                <w:lang w:eastAsia="en-NZ"/>
              </w:rPr>
              <w:t>A territorial authority within the meaning of the Local Government Act 2002. This is usually taken to refer to a city council or a district council.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(TA) base rate.</w:t>
            </w:r>
          </w:p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It define</w:t>
            </w:r>
            <w:bookmarkStart w:id="0" w:name="_GoBack"/>
            <w:bookmarkEnd w:id="0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s when the rates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were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updated, what data and formula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s used to calculate the rates a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nd any other information which 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s taken into account to adjust the rates.</w:t>
            </w:r>
          </w:p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This section also describes how the TA construction rates, used for improvement activities,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we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re set. </w:t>
            </w:r>
          </w:p>
        </w:tc>
      </w:tr>
    </w:tbl>
    <w:p w:rsidR="000F71F5" w:rsidRPr="000F71F5" w:rsidRDefault="000F71F5" w:rsidP="000F71F5">
      <w:pPr>
        <w:spacing w:before="100" w:beforeAutospacing="1" w:after="100" w:afterAutospacing="1" w:line="315" w:lineRule="atLeast"/>
        <w:rPr>
          <w:rFonts w:eastAsia="Times New Roman" w:cs="Lucida Sans"/>
          <w:sz w:val="21"/>
          <w:szCs w:val="21"/>
          <w:lang w:eastAsia="en-N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7688"/>
      </w:tblGrid>
      <w:tr w:rsidR="000F71F5" w:rsidRPr="000F71F5" w:rsidTr="000F71F5">
        <w:trPr>
          <w:tblCellSpacing w:w="0" w:type="dxa"/>
        </w:trPr>
        <w:tc>
          <w:tcPr>
            <w:tcW w:w="2100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Lucida Sans"/>
                <w:b/>
                <w:bCs/>
                <w:szCs w:val="20"/>
                <w:lang w:eastAsia="en-NZ"/>
              </w:rPr>
            </w:pPr>
            <w:r w:rsidRPr="000F71F5">
              <w:rPr>
                <w:rFonts w:eastAsia="Times New Roman" w:cs="Lucida Sans"/>
                <w:b/>
                <w:bCs/>
                <w:szCs w:val="20"/>
                <w:lang w:eastAsia="en-NZ"/>
              </w:rPr>
              <w:t>Funding assistance rate review</w:t>
            </w:r>
          </w:p>
        </w:tc>
        <w:tc>
          <w:tcPr>
            <w:tcW w:w="7740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A review of the Funding Assistance Rate system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was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undertaken in 2012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-14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 and the results taken into consideration for development of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policy for 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the 2015-18 NLTP</w:t>
            </w:r>
            <w:r w:rsidRPr="000F71F5">
              <w:rPr>
                <w:rFonts w:eastAsia="Times New Roman" w:cs="Lucida Sans"/>
                <w:vanish/>
                <w:sz w:val="18"/>
                <w:szCs w:val="18"/>
                <w:bdr w:val="single" w:sz="12" w:space="4" w:color="CCCCCC" w:frame="1"/>
                <w:shd w:val="clear" w:color="auto" w:fill="E7E7E7"/>
                <w:lang w:eastAsia="en-NZ"/>
              </w:rPr>
              <w:t>A National Land Transport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. </w:t>
            </w:r>
          </w:p>
        </w:tc>
      </w:tr>
    </w:tbl>
    <w:p w:rsidR="000F71F5" w:rsidRPr="000F71F5" w:rsidRDefault="000F71F5" w:rsidP="000F71F5">
      <w:pPr>
        <w:spacing w:before="100" w:beforeAutospacing="1" w:after="100" w:afterAutospacing="1" w:line="315" w:lineRule="atLeast"/>
        <w:rPr>
          <w:rFonts w:eastAsia="Times New Roman" w:cs="Lucida Sans"/>
          <w:sz w:val="21"/>
          <w:szCs w:val="21"/>
          <w:lang w:eastAsia="en-NZ"/>
        </w:rPr>
      </w:pPr>
      <w:r w:rsidRPr="000F71F5">
        <w:rPr>
          <w:rFonts w:eastAsia="Times New Roman" w:cs="Lucida Sans"/>
          <w:sz w:val="21"/>
          <w:szCs w:val="21"/>
          <w:lang w:eastAsia="en-N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686"/>
      </w:tblGrid>
      <w:tr w:rsidR="000F71F5" w:rsidRPr="000F71F5" w:rsidTr="000F71F5">
        <w:trPr>
          <w:tblCellSpacing w:w="0" w:type="dxa"/>
        </w:trPr>
        <w:tc>
          <w:tcPr>
            <w:tcW w:w="2100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Lucida Sans"/>
                <w:b/>
                <w:bCs/>
                <w:szCs w:val="20"/>
                <w:lang w:eastAsia="en-NZ"/>
              </w:rPr>
            </w:pPr>
            <w:r w:rsidRPr="000F71F5">
              <w:rPr>
                <w:rFonts w:eastAsia="Times New Roman" w:cs="Lucida Sans"/>
                <w:b/>
                <w:bCs/>
                <w:szCs w:val="20"/>
                <w:lang w:eastAsia="en-NZ"/>
              </w:rPr>
              <w:t>Determination of TA base rate</w:t>
            </w:r>
          </w:p>
        </w:tc>
        <w:tc>
          <w:tcPr>
            <w:tcW w:w="7740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The base rate of funding assistance for a Territorial Authority </w:t>
            </w:r>
            <w:r w:rsidRPr="000F71F5">
              <w:rPr>
                <w:rFonts w:eastAsia="Times New Roman" w:cs="Lucida Sans"/>
                <w:vanish/>
                <w:sz w:val="18"/>
                <w:szCs w:val="18"/>
                <w:bdr w:val="single" w:sz="12" w:space="4" w:color="CCCCCC" w:frame="1"/>
                <w:shd w:val="clear" w:color="auto" w:fill="E7E7E7"/>
                <w:lang w:eastAsia="en-NZ"/>
              </w:rPr>
              <w:t>A territorial authority within the meaning of the Local Government Act 2002. This is usually taken to refer to a city council or a district council.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t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ook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into account:</w:t>
            </w:r>
          </w:p>
          <w:p w:rsidR="000F71F5" w:rsidRPr="000F71F5" w:rsidRDefault="000F71F5" w:rsidP="000F71F5">
            <w:pPr>
              <w:numPr>
                <w:ilvl w:val="0"/>
                <w:numId w:val="13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the size of the territorial authority’s block allocation for road maintenance</w:t>
            </w:r>
          </w:p>
          <w:p w:rsidR="000F71F5" w:rsidRPr="000F71F5" w:rsidRDefault="000F71F5" w:rsidP="000F71F5">
            <w:pPr>
              <w:numPr>
                <w:ilvl w:val="0"/>
                <w:numId w:val="13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the financial resources available to the territorial authority.</w:t>
            </w:r>
          </w:p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 The following conditions appl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ied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:</w:t>
            </w:r>
          </w:p>
          <w:p w:rsidR="000F71F5" w:rsidRPr="000F71F5" w:rsidRDefault="000F71F5" w:rsidP="000F71F5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>
              <w:rPr>
                <w:rFonts w:eastAsia="Times New Roman" w:cs="Lucida Sans"/>
                <w:sz w:val="21"/>
                <w:szCs w:val="21"/>
                <w:lang w:eastAsia="en-NZ"/>
              </w:rPr>
              <w:t>all territorial authorities we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re considered on the same basis</w:t>
            </w:r>
          </w:p>
          <w:p w:rsidR="000F71F5" w:rsidRPr="000F71F5" w:rsidRDefault="000F71F5" w:rsidP="000F71F5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the national average TA base rate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s 50 percent</w:t>
            </w:r>
          </w:p>
          <w:p w:rsidR="000F71F5" w:rsidRPr="000F71F5" w:rsidRDefault="000F71F5" w:rsidP="000F71F5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>
              <w:rPr>
                <w:rFonts w:eastAsia="Times New Roman" w:cs="Lucida Sans"/>
                <w:sz w:val="21"/>
                <w:szCs w:val="21"/>
                <w:lang w:eastAsia="en-NZ"/>
              </w:rPr>
              <w:t>the minimum TA base rate 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s 43 percent.</w:t>
            </w:r>
          </w:p>
        </w:tc>
      </w:tr>
    </w:tbl>
    <w:p w:rsidR="000F71F5" w:rsidRPr="000F71F5" w:rsidRDefault="000F71F5" w:rsidP="000F71F5">
      <w:pPr>
        <w:spacing w:before="100" w:beforeAutospacing="1" w:after="100" w:afterAutospacing="1" w:line="315" w:lineRule="atLeast"/>
        <w:rPr>
          <w:rFonts w:eastAsia="Times New Roman" w:cs="Lucida Sans"/>
          <w:sz w:val="21"/>
          <w:szCs w:val="21"/>
          <w:lang w:eastAsia="en-NZ"/>
        </w:rPr>
      </w:pPr>
      <w:r w:rsidRPr="000F71F5">
        <w:rPr>
          <w:rFonts w:eastAsia="Times New Roman" w:cs="Lucida Sans"/>
          <w:sz w:val="21"/>
          <w:szCs w:val="21"/>
          <w:lang w:eastAsia="en-N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689"/>
      </w:tblGrid>
      <w:tr w:rsidR="000F71F5" w:rsidRPr="000F71F5" w:rsidTr="000F71F5">
        <w:trPr>
          <w:tblCellSpacing w:w="0" w:type="dxa"/>
        </w:trPr>
        <w:tc>
          <w:tcPr>
            <w:tcW w:w="2100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Lucida Sans"/>
                <w:b/>
                <w:bCs/>
                <w:szCs w:val="20"/>
                <w:lang w:eastAsia="en-NZ"/>
              </w:rPr>
            </w:pPr>
            <w:r w:rsidRPr="000F71F5">
              <w:rPr>
                <w:rFonts w:eastAsia="Times New Roman" w:cs="Lucida Sans"/>
                <w:b/>
                <w:bCs/>
                <w:szCs w:val="20"/>
                <w:lang w:eastAsia="en-NZ"/>
              </w:rPr>
              <w:t>Net equalised land value</w:t>
            </w:r>
          </w:p>
        </w:tc>
        <w:tc>
          <w:tcPr>
            <w:tcW w:w="7740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The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Transport Agency 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adopted the net equalised rateable land value as an indication of the financial resources available to a territorial authority. This decision was made after extensive research and discussion and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s considered to most fairly reflect the relativity between territorial authorities.</w:t>
            </w:r>
          </w:p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The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Transport Agency 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recognise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d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that rapid movement in land value c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ould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occur and, to allow for this effect, adopted the arithmetic average of the 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lastRenderedPageBreak/>
              <w:t>five most recent valuations.</w:t>
            </w:r>
          </w:p>
        </w:tc>
      </w:tr>
    </w:tbl>
    <w:p w:rsidR="000F71F5" w:rsidRPr="000F71F5" w:rsidRDefault="000F71F5" w:rsidP="000F71F5">
      <w:pPr>
        <w:spacing w:before="100" w:beforeAutospacing="1" w:after="100" w:afterAutospacing="1" w:line="315" w:lineRule="atLeast"/>
        <w:rPr>
          <w:rFonts w:eastAsia="Times New Roman" w:cs="Lucida Sans"/>
          <w:sz w:val="21"/>
          <w:szCs w:val="21"/>
          <w:lang w:eastAsia="en-NZ"/>
        </w:rPr>
      </w:pPr>
      <w:r w:rsidRPr="000F71F5">
        <w:rPr>
          <w:rFonts w:eastAsia="Times New Roman" w:cs="Lucida Sans"/>
          <w:sz w:val="21"/>
          <w:szCs w:val="21"/>
          <w:lang w:eastAsia="en-NZ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7691"/>
      </w:tblGrid>
      <w:tr w:rsidR="000F71F5" w:rsidRPr="000F71F5" w:rsidTr="000F71F5">
        <w:trPr>
          <w:tblCellSpacing w:w="0" w:type="dxa"/>
        </w:trPr>
        <w:tc>
          <w:tcPr>
            <w:tcW w:w="2089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Lucida Sans"/>
                <w:b/>
                <w:bCs/>
                <w:szCs w:val="20"/>
                <w:lang w:eastAsia="en-NZ"/>
              </w:rPr>
            </w:pPr>
            <w:r w:rsidRPr="000F71F5">
              <w:rPr>
                <w:rFonts w:eastAsia="Times New Roman" w:cs="Lucida Sans"/>
                <w:b/>
                <w:bCs/>
                <w:szCs w:val="20"/>
                <w:lang w:eastAsia="en-NZ"/>
              </w:rPr>
              <w:t>Formula for indicated TA base rate</w:t>
            </w:r>
          </w:p>
        </w:tc>
        <w:tc>
          <w:tcPr>
            <w:tcW w:w="7691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The formula is :</w:t>
            </w:r>
          </w:p>
          <w:p w:rsidR="000F71F5" w:rsidRPr="000F71F5" w:rsidRDefault="000F71F5" w:rsidP="000F71F5">
            <w:pPr>
              <w:spacing w:before="100" w:beforeAutospacing="1" w:after="100" w:afterAutospacing="1" w:line="315" w:lineRule="atLeast"/>
              <w:ind w:left="720"/>
              <w:rPr>
                <w:rFonts w:eastAsia="Times New Roman" w:cs="Lucida Sans"/>
                <w:sz w:val="21"/>
                <w:szCs w:val="21"/>
                <w:lang w:eastAsia="en-NZ"/>
              </w:rPr>
            </w:pPr>
            <w:proofErr w:type="spellStart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IBR</w:t>
            </w:r>
            <w:proofErr w:type="spellEnd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= </w:t>
            </w:r>
            <w:proofErr w:type="spellStart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k1</w:t>
            </w:r>
            <w:proofErr w:type="spellEnd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+ </w:t>
            </w:r>
            <w:proofErr w:type="spellStart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k2</w:t>
            </w:r>
            <w:proofErr w:type="spellEnd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log (P/LV)</w:t>
            </w:r>
          </w:p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b/>
                <w:bCs/>
                <w:sz w:val="21"/>
                <w:szCs w:val="21"/>
                <w:lang w:eastAsia="en-NZ"/>
              </w:rPr>
              <w:t>Where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:</w:t>
            </w:r>
          </w:p>
          <w:p w:rsidR="000F71F5" w:rsidRPr="000F71F5" w:rsidRDefault="000F71F5" w:rsidP="000F71F5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proofErr w:type="spellStart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IBR</w:t>
            </w:r>
            <w:proofErr w:type="spellEnd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= indicated TA base rate for the following year (%)</w:t>
            </w:r>
          </w:p>
          <w:p w:rsidR="000F71F5" w:rsidRPr="000F71F5" w:rsidRDefault="000F71F5" w:rsidP="000F71F5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P  =  current year’s block road maintenance allocation for the territorial authority ($ thousands)</w:t>
            </w:r>
          </w:p>
          <w:p w:rsidR="000F71F5" w:rsidRPr="000F71F5" w:rsidRDefault="000F71F5" w:rsidP="000F71F5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LV  =  latest available five-yearly averaged net equalised rateable land value for the territorial authority ($ millions)</w:t>
            </w:r>
          </w:p>
          <w:p w:rsidR="000F71F5" w:rsidRPr="000F71F5" w:rsidRDefault="000F71F5" w:rsidP="000F71F5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proofErr w:type="spellStart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k1</w:t>
            </w:r>
            <w:proofErr w:type="spellEnd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, </w:t>
            </w:r>
            <w:proofErr w:type="spellStart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k2</w:t>
            </w:r>
            <w:proofErr w:type="spellEnd"/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= constants, which are established to give a national indicated funding assistance rate (</w:t>
            </w:r>
            <w:r w:rsidRPr="000F71F5">
              <w:rPr>
                <w:rFonts w:eastAsia="Times New Roman" w:cs="Lucida Sans"/>
                <w:color w:val="105E95"/>
                <w:sz w:val="21"/>
                <w:szCs w:val="21"/>
                <w:lang w:eastAsia="en-NZ"/>
              </w:rPr>
              <w:t>FAR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</w:t>
            </w:r>
            <w:r w:rsidRPr="000F71F5">
              <w:rPr>
                <w:rFonts w:eastAsia="Times New Roman" w:cs="Lucida Sans"/>
                <w:vanish/>
                <w:sz w:val="18"/>
                <w:szCs w:val="18"/>
                <w:bdr w:val="single" w:sz="12" w:space="4" w:color="CCCCCC" w:frame="1"/>
                <w:shd w:val="clear" w:color="auto" w:fill="E7E7E7"/>
                <w:lang w:eastAsia="en-NZ"/>
              </w:rPr>
              <w:t>The usual contribution in percentage terms, that the NZTA augments funding of an approved organisation, for the delivery of an activity or combination of activities.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) of 50 percent.</w:t>
            </w:r>
          </w:p>
        </w:tc>
      </w:tr>
    </w:tbl>
    <w:p w:rsidR="000F71F5" w:rsidRPr="000F71F5" w:rsidRDefault="000F71F5" w:rsidP="000F71F5">
      <w:pPr>
        <w:spacing w:before="100" w:beforeAutospacing="1" w:after="100" w:afterAutospacing="1" w:line="315" w:lineRule="atLeast"/>
        <w:rPr>
          <w:rFonts w:eastAsia="Times New Roman" w:cs="Lucida Sans"/>
          <w:sz w:val="21"/>
          <w:szCs w:val="21"/>
          <w:lang w:eastAsia="en-NZ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646"/>
      </w:tblGrid>
      <w:tr w:rsidR="000F71F5" w:rsidRPr="000F71F5" w:rsidTr="000F71F5">
        <w:trPr>
          <w:tblCellSpacing w:w="0" w:type="dxa"/>
        </w:trPr>
        <w:tc>
          <w:tcPr>
            <w:tcW w:w="1134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Lucida Sans"/>
                <w:b/>
                <w:bCs/>
                <w:szCs w:val="20"/>
                <w:lang w:eastAsia="en-NZ"/>
              </w:rPr>
            </w:pPr>
            <w:r w:rsidRPr="000F71F5">
              <w:rPr>
                <w:rFonts w:eastAsia="Times New Roman" w:cs="Lucida Sans"/>
                <w:b/>
                <w:bCs/>
                <w:szCs w:val="20"/>
                <w:lang w:eastAsia="en-NZ"/>
              </w:rPr>
              <w:t>Indicated TA Base Rate</w:t>
            </w:r>
          </w:p>
        </w:tc>
        <w:tc>
          <w:tcPr>
            <w:tcW w:w="8646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The following figure shows the Indicated TA Base Rate calculated using the above formula:</w:t>
            </w:r>
          </w:p>
          <w:p w:rsidR="000F71F5" w:rsidRPr="000F71F5" w:rsidRDefault="000F71F5" w:rsidP="000F71F5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04F827D6" wp14:editId="3F1D008D">
                  <wp:extent cx="5709920" cy="3509010"/>
                  <wp:effectExtent l="0" t="0" r="5080" b="0"/>
                  <wp:docPr id="3" name="Picture 3" descr="https://www.pikb.co.nz/assets/Uploads/Images/_resampled/resizedimage600368-Indicated-TA-Base-R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ikb.co.nz/assets/Uploads/Images/_resampled/resizedimage600368-Indicated-TA-Base-R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50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The Transport Agency 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calculate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d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the base rate indicator annually as at August using the current year’s block road maintenance allocation and the latest available net 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lastRenderedPageBreak/>
              <w:t>equalised rateable land values.</w:t>
            </w:r>
          </w:p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>
              <w:rPr>
                <w:rFonts w:eastAsia="Times New Roman" w:cs="Lucida Sans"/>
                <w:sz w:val="21"/>
                <w:szCs w:val="21"/>
                <w:lang w:eastAsia="en-NZ"/>
              </w:rPr>
              <w:t>This gave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territorial authorities advance notice of potential changes in their approved base rates.</w:t>
            </w:r>
          </w:p>
        </w:tc>
      </w:tr>
    </w:tbl>
    <w:p w:rsidR="000F71F5" w:rsidRPr="000F71F5" w:rsidRDefault="000F71F5" w:rsidP="000F71F5">
      <w:pPr>
        <w:spacing w:before="100" w:beforeAutospacing="1" w:after="100" w:afterAutospacing="1" w:line="315" w:lineRule="atLeast"/>
        <w:rPr>
          <w:rFonts w:eastAsia="Times New Roman" w:cs="Lucida Sans"/>
          <w:sz w:val="21"/>
          <w:szCs w:val="21"/>
          <w:lang w:eastAsia="en-NZ"/>
        </w:rPr>
      </w:pPr>
      <w:r w:rsidRPr="000F71F5">
        <w:rPr>
          <w:rFonts w:eastAsia="Times New Roman" w:cs="Lucida Sans"/>
          <w:sz w:val="21"/>
          <w:szCs w:val="21"/>
          <w:lang w:eastAsia="en-NZ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686"/>
      </w:tblGrid>
      <w:tr w:rsidR="000F71F5" w:rsidRPr="000F71F5" w:rsidTr="000F71F5">
        <w:trPr>
          <w:tblCellSpacing w:w="0" w:type="dxa"/>
        </w:trPr>
        <w:tc>
          <w:tcPr>
            <w:tcW w:w="2100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Lucida Sans"/>
                <w:b/>
                <w:bCs/>
                <w:szCs w:val="20"/>
                <w:lang w:eastAsia="en-NZ"/>
              </w:rPr>
            </w:pPr>
            <w:r w:rsidRPr="000F71F5">
              <w:rPr>
                <w:rFonts w:eastAsia="Times New Roman" w:cs="Lucida Sans"/>
                <w:b/>
                <w:bCs/>
                <w:szCs w:val="20"/>
                <w:lang w:eastAsia="en-NZ"/>
              </w:rPr>
              <w:t>Other factors in base rate determination</w:t>
            </w:r>
          </w:p>
        </w:tc>
        <w:tc>
          <w:tcPr>
            <w:tcW w:w="7740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The Transport Agency stressed that the base rate indicator provided only an indication of the level of assistance for a Territorial Authority</w:t>
            </w:r>
            <w:r w:rsidRPr="000F71F5">
              <w:rPr>
                <w:rFonts w:eastAsia="Times New Roman" w:cs="Lucida Sans"/>
                <w:vanish/>
                <w:sz w:val="18"/>
                <w:szCs w:val="18"/>
                <w:bdr w:val="single" w:sz="12" w:space="4" w:color="CCCCCC" w:frame="1"/>
                <w:shd w:val="clear" w:color="auto" w:fill="E7E7E7"/>
                <w:lang w:eastAsia="en-NZ"/>
              </w:rPr>
              <w:t>A territorial authority within the meaning of the Local Government Act 2002. This is usually taken to refer to a city council or a district council.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. To this 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s added the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Agency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’s judgement of the circumstances of each territorial authority.</w:t>
            </w:r>
          </w:p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The factors taken into account in deciding on the base rate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we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re:</w:t>
            </w:r>
          </w:p>
          <w:p w:rsidR="000F71F5" w:rsidRPr="000F71F5" w:rsidRDefault="000F71F5" w:rsidP="000F71F5">
            <w:pPr>
              <w:numPr>
                <w:ilvl w:val="0"/>
                <w:numId w:val="16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base rate indicators calculated for the current and previous two years</w:t>
            </w:r>
          </w:p>
          <w:p w:rsidR="000F71F5" w:rsidRPr="000F71F5" w:rsidRDefault="000F71F5" w:rsidP="000F71F5">
            <w:pPr>
              <w:numPr>
                <w:ilvl w:val="0"/>
                <w:numId w:val="16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approved base rates for the current and previous two years</w:t>
            </w:r>
          </w:p>
          <w:p w:rsidR="000F71F5" w:rsidRPr="000F71F5" w:rsidRDefault="000F71F5" w:rsidP="000F71F5">
            <w:pPr>
              <w:numPr>
                <w:ilvl w:val="0"/>
                <w:numId w:val="16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the base rate indicator for the next year</w:t>
            </w:r>
          </w:p>
          <w:p w:rsidR="000F71F5" w:rsidRPr="000F71F5" w:rsidRDefault="000F71F5" w:rsidP="000F71F5">
            <w:pPr>
              <w:numPr>
                <w:ilvl w:val="0"/>
                <w:numId w:val="16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changes in the road operations, maintenance and renewals programme</w:t>
            </w:r>
          </w:p>
          <w:p w:rsidR="000F71F5" w:rsidRPr="000F71F5" w:rsidRDefault="000F71F5" w:rsidP="000F71F5">
            <w:pPr>
              <w:numPr>
                <w:ilvl w:val="0"/>
                <w:numId w:val="16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changes in net equalised land value</w:t>
            </w:r>
          </w:p>
          <w:p w:rsidR="000F71F5" w:rsidRPr="000F71F5" w:rsidRDefault="000F71F5" w:rsidP="000F71F5">
            <w:pPr>
              <w:numPr>
                <w:ilvl w:val="0"/>
                <w:numId w:val="16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the resultant change in local share.</w:t>
            </w:r>
          </w:p>
        </w:tc>
      </w:tr>
    </w:tbl>
    <w:p w:rsidR="000F71F5" w:rsidRPr="000F71F5" w:rsidRDefault="000F71F5" w:rsidP="000F71F5">
      <w:pPr>
        <w:spacing w:before="100" w:beforeAutospacing="1" w:after="100" w:afterAutospacing="1" w:line="315" w:lineRule="atLeast"/>
        <w:rPr>
          <w:rFonts w:eastAsia="Times New Roman" w:cs="Lucida Sans"/>
          <w:sz w:val="21"/>
          <w:szCs w:val="21"/>
          <w:lang w:eastAsia="en-NZ"/>
        </w:rPr>
      </w:pPr>
      <w:r w:rsidRPr="000F71F5">
        <w:rPr>
          <w:rFonts w:eastAsia="Times New Roman" w:cs="Lucida Sans"/>
          <w:sz w:val="21"/>
          <w:szCs w:val="21"/>
          <w:lang w:eastAsia="en-N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7690"/>
      </w:tblGrid>
      <w:tr w:rsidR="000F71F5" w:rsidRPr="000F71F5" w:rsidTr="000F71F5">
        <w:trPr>
          <w:tblCellSpacing w:w="0" w:type="dxa"/>
        </w:trPr>
        <w:tc>
          <w:tcPr>
            <w:tcW w:w="2100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Lucida Sans"/>
                <w:b/>
                <w:bCs/>
                <w:szCs w:val="20"/>
                <w:lang w:eastAsia="en-NZ"/>
              </w:rPr>
            </w:pPr>
            <w:r w:rsidRPr="000F71F5">
              <w:rPr>
                <w:rFonts w:eastAsia="Times New Roman" w:cs="Lucida Sans"/>
                <w:b/>
                <w:bCs/>
                <w:szCs w:val="20"/>
                <w:lang w:eastAsia="en-NZ"/>
              </w:rPr>
              <w:t>Summary of TA base rate policy</w:t>
            </w:r>
          </w:p>
        </w:tc>
        <w:tc>
          <w:tcPr>
            <w:tcW w:w="7740" w:type="dxa"/>
            <w:hideMark/>
          </w:tcPr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The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Transport Agency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wishe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d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to retain a degree of stability in TA base rates and therefore avoid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ed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making minor changes to the base rates.</w:t>
            </w:r>
          </w:p>
          <w:p w:rsidR="000F71F5" w:rsidRPr="000F71F5" w:rsidRDefault="000F71F5" w:rsidP="000F71F5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 The TA base rate policy </w:t>
            </w:r>
            <w:r>
              <w:rPr>
                <w:rFonts w:eastAsia="Times New Roman" w:cs="Lucida Sans"/>
                <w:sz w:val="21"/>
                <w:szCs w:val="21"/>
                <w:lang w:eastAsia="en-NZ"/>
              </w:rPr>
              <w:t>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s described in the table below.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4473"/>
            </w:tblGrid>
            <w:tr w:rsidR="000F71F5" w:rsidRPr="000F71F5" w:rsidTr="002F68BC">
              <w:trPr>
                <w:tblCellSpacing w:w="0" w:type="dxa"/>
                <w:jc w:val="center"/>
              </w:trPr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71F5" w:rsidRPr="000F71F5" w:rsidRDefault="002F68BC" w:rsidP="000F71F5">
                  <w:pPr>
                    <w:spacing w:before="100" w:beforeAutospacing="1" w:after="100" w:afterAutospacing="1" w:line="315" w:lineRule="atLeast"/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</w:pPr>
                  <w:r>
                    <w:rPr>
                      <w:rFonts w:eastAsia="Times New Roman" w:cs="Lucida Sans"/>
                      <w:b/>
                      <w:bCs/>
                      <w:sz w:val="21"/>
                      <w:szCs w:val="21"/>
                      <w:lang w:eastAsia="en-NZ"/>
                    </w:rPr>
                    <w:t>If the base rate indicator wa</w:t>
                  </w:r>
                  <w:r w:rsidR="000F71F5" w:rsidRPr="000F71F5">
                    <w:rPr>
                      <w:rFonts w:eastAsia="Times New Roman" w:cs="Lucida Sans"/>
                      <w:b/>
                      <w:bCs/>
                      <w:sz w:val="21"/>
                      <w:szCs w:val="21"/>
                      <w:lang w:eastAsia="en-NZ"/>
                    </w:rPr>
                    <w:t>s …</w:t>
                  </w:r>
                </w:p>
              </w:tc>
              <w:tc>
                <w:tcPr>
                  <w:tcW w:w="4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71F5" w:rsidRPr="000F71F5" w:rsidRDefault="000F71F5" w:rsidP="000F71F5">
                  <w:pPr>
                    <w:spacing w:before="100" w:beforeAutospacing="1" w:after="100" w:afterAutospacing="1" w:line="315" w:lineRule="atLeast"/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</w:pPr>
                  <w:r w:rsidRPr="000F71F5">
                    <w:rPr>
                      <w:rFonts w:eastAsia="Times New Roman" w:cs="Lucida Sans"/>
                      <w:b/>
                      <w:bCs/>
                      <w:sz w:val="21"/>
                      <w:szCs w:val="21"/>
                      <w:lang w:eastAsia="en-NZ"/>
                    </w:rPr>
                    <w:t>Then …</w:t>
                  </w:r>
                </w:p>
              </w:tc>
            </w:tr>
            <w:tr w:rsidR="000F71F5" w:rsidRPr="000F71F5" w:rsidTr="002F68BC">
              <w:trPr>
                <w:tblCellSpacing w:w="0" w:type="dxa"/>
                <w:jc w:val="center"/>
              </w:trPr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71F5" w:rsidRPr="000F71F5" w:rsidRDefault="000F71F5" w:rsidP="000F71F5">
                  <w:pPr>
                    <w:spacing w:before="100" w:beforeAutospacing="1" w:after="100" w:afterAutospacing="1" w:line="315" w:lineRule="atLeast"/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</w:pPr>
                  <w:r w:rsidRPr="000F71F5">
                    <w:rPr>
                      <w:rFonts w:eastAsia="Times New Roman" w:cs="Lucida Sans"/>
                      <w:b/>
                      <w:bCs/>
                      <w:sz w:val="21"/>
                      <w:szCs w:val="21"/>
                      <w:lang w:eastAsia="en-NZ"/>
                    </w:rPr>
                    <w:t>greater than</w:t>
                  </w:r>
                  <w:r w:rsidRPr="000F71F5"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 xml:space="preserve"> ±2 percent from the currently approved TA base rate</w:t>
                  </w:r>
                </w:p>
              </w:tc>
              <w:tc>
                <w:tcPr>
                  <w:tcW w:w="4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71F5" w:rsidRPr="000F71F5" w:rsidRDefault="002F68BC" w:rsidP="000F71F5">
                  <w:pPr>
                    <w:spacing w:before="100" w:beforeAutospacing="1" w:after="100" w:afterAutospacing="1" w:line="315" w:lineRule="atLeast"/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</w:pPr>
                  <w:r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>a move wa</w:t>
                  </w:r>
                  <w:r w:rsidR="000F71F5" w:rsidRPr="000F71F5"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>s made towards the indicated TA base rate by half the difference, or such as to be within ±2 perce</w:t>
                  </w:r>
                  <w:r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>nt of the indicator, whichever wa</w:t>
                  </w:r>
                  <w:r w:rsidR="000F71F5" w:rsidRPr="000F71F5"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>s the lesser adjustment.</w:t>
                  </w:r>
                </w:p>
                <w:p w:rsidR="000F71F5" w:rsidRPr="000F71F5" w:rsidRDefault="002F68BC" w:rsidP="000F71F5">
                  <w:pPr>
                    <w:spacing w:before="100" w:beforeAutospacing="1" w:after="100" w:afterAutospacing="1" w:line="315" w:lineRule="atLeast"/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</w:pPr>
                  <w:r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>An exception wa</w:t>
                  </w:r>
                  <w:r w:rsidR="000F71F5" w:rsidRPr="000F71F5"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>s where territorial authorities with normally small programmes ha</w:t>
                  </w:r>
                  <w:r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>d</w:t>
                  </w:r>
                  <w:r w:rsidR="000F71F5" w:rsidRPr="000F71F5"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 xml:space="preserve"> introduced work into their programmes that cause</w:t>
                  </w:r>
                  <w:r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>d</w:t>
                  </w:r>
                  <w:r w:rsidR="000F71F5" w:rsidRPr="000F71F5"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 xml:space="preserve"> a large but temporary change in the appropriate level of assistance.</w:t>
                  </w:r>
                </w:p>
                <w:p w:rsidR="000F71F5" w:rsidRPr="000F71F5" w:rsidRDefault="002F68BC" w:rsidP="000F71F5">
                  <w:pPr>
                    <w:spacing w:before="100" w:beforeAutospacing="1" w:after="100" w:afterAutospacing="1" w:line="315" w:lineRule="atLeast"/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</w:pPr>
                  <w:r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lastRenderedPageBreak/>
                    <w:t>Note: Territorial authorities we</w:t>
                  </w:r>
                  <w:r w:rsidR="000F71F5" w:rsidRPr="000F71F5"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>re generally given the advantage of the odd ½ percent if necessary.</w:t>
                  </w:r>
                </w:p>
              </w:tc>
            </w:tr>
            <w:tr w:rsidR="000F71F5" w:rsidRPr="000F71F5" w:rsidTr="002F68BC">
              <w:trPr>
                <w:tblCellSpacing w:w="0" w:type="dxa"/>
                <w:jc w:val="center"/>
              </w:trPr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71F5" w:rsidRPr="000F71F5" w:rsidRDefault="000F71F5" w:rsidP="000F71F5">
                  <w:pPr>
                    <w:spacing w:before="100" w:beforeAutospacing="1" w:after="100" w:afterAutospacing="1" w:line="315" w:lineRule="atLeast"/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</w:pPr>
                  <w:r w:rsidRPr="000F71F5">
                    <w:rPr>
                      <w:rFonts w:eastAsia="Times New Roman" w:cs="Lucida Sans"/>
                      <w:b/>
                      <w:bCs/>
                      <w:sz w:val="21"/>
                      <w:szCs w:val="21"/>
                      <w:lang w:eastAsia="en-NZ"/>
                    </w:rPr>
                    <w:lastRenderedPageBreak/>
                    <w:t>less than or equal to</w:t>
                  </w:r>
                  <w:r w:rsidRPr="000F71F5"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 xml:space="preserve"> ±2 percent from the currently approved TA base rate</w:t>
                  </w:r>
                </w:p>
              </w:tc>
              <w:tc>
                <w:tcPr>
                  <w:tcW w:w="4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71F5" w:rsidRPr="000F71F5" w:rsidRDefault="000F71F5" w:rsidP="002F68BC">
                  <w:pPr>
                    <w:spacing w:before="100" w:beforeAutospacing="1" w:after="100" w:afterAutospacing="1" w:line="315" w:lineRule="atLeast"/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</w:pPr>
                  <w:r w:rsidRPr="000F71F5"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 xml:space="preserve">no change </w:t>
                  </w:r>
                  <w:r w:rsidR="002F68BC"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>wa</w:t>
                  </w:r>
                  <w:r w:rsidRPr="000F71F5">
                    <w:rPr>
                      <w:rFonts w:eastAsia="Times New Roman" w:cs="Lucida Sans"/>
                      <w:sz w:val="21"/>
                      <w:szCs w:val="21"/>
                      <w:lang w:eastAsia="en-NZ"/>
                    </w:rPr>
                    <w:t>s made unless the same trend has been shown for two successive years.</w:t>
                  </w:r>
                </w:p>
              </w:tc>
            </w:tr>
          </w:tbl>
          <w:p w:rsidR="000F71F5" w:rsidRPr="000F71F5" w:rsidRDefault="000F71F5" w:rsidP="002F68BC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</w:p>
        </w:tc>
      </w:tr>
    </w:tbl>
    <w:p w:rsidR="000F71F5" w:rsidRPr="000F71F5" w:rsidRDefault="000F71F5" w:rsidP="000F71F5">
      <w:pPr>
        <w:spacing w:before="100" w:beforeAutospacing="1" w:after="100" w:afterAutospacing="1" w:line="315" w:lineRule="atLeast"/>
        <w:rPr>
          <w:rFonts w:eastAsia="Times New Roman" w:cs="Lucida Sans"/>
          <w:sz w:val="21"/>
          <w:szCs w:val="21"/>
          <w:lang w:eastAsia="en-NZ"/>
        </w:rPr>
      </w:pPr>
      <w:r w:rsidRPr="000F71F5">
        <w:rPr>
          <w:rFonts w:eastAsia="Times New Roman" w:cs="Lucida Sans"/>
          <w:sz w:val="21"/>
          <w:szCs w:val="21"/>
          <w:lang w:eastAsia="en-NZ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689"/>
      </w:tblGrid>
      <w:tr w:rsidR="000F71F5" w:rsidRPr="000F71F5" w:rsidTr="000F71F5">
        <w:trPr>
          <w:tblCellSpacing w:w="0" w:type="dxa"/>
        </w:trPr>
        <w:tc>
          <w:tcPr>
            <w:tcW w:w="2100" w:type="dxa"/>
            <w:hideMark/>
          </w:tcPr>
          <w:p w:rsidR="000F71F5" w:rsidRPr="000F71F5" w:rsidRDefault="000F71F5" w:rsidP="002F68BC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Lucida Sans"/>
                <w:b/>
                <w:bCs/>
                <w:szCs w:val="20"/>
                <w:lang w:eastAsia="en-NZ"/>
              </w:rPr>
            </w:pPr>
            <w:r w:rsidRPr="000F71F5">
              <w:rPr>
                <w:rFonts w:eastAsia="Times New Roman" w:cs="Lucida Sans"/>
                <w:b/>
                <w:bCs/>
                <w:szCs w:val="20"/>
                <w:lang w:eastAsia="en-NZ"/>
              </w:rPr>
              <w:t>Approved TA base rate</w:t>
            </w:r>
          </w:p>
        </w:tc>
        <w:tc>
          <w:tcPr>
            <w:tcW w:w="7740" w:type="dxa"/>
            <w:hideMark/>
          </w:tcPr>
          <w:p w:rsidR="000F71F5" w:rsidRPr="000F71F5" w:rsidRDefault="000F71F5" w:rsidP="002F68BC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The 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Transport Agency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review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ed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, and adjust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ed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as necessary, the approved base rate for all Territorial Authorities in August prior to the start of the three-year National Land Transport Programme </w:t>
            </w:r>
            <w:r w:rsidRPr="000F71F5">
              <w:rPr>
                <w:rFonts w:eastAsia="Times New Roman" w:cs="Lucida Sans"/>
                <w:vanish/>
                <w:sz w:val="18"/>
                <w:szCs w:val="18"/>
                <w:bdr w:val="single" w:sz="12" w:space="4" w:color="CCCCCC" w:frame="1"/>
                <w:shd w:val="clear" w:color="auto" w:fill="E7E7E7"/>
                <w:lang w:eastAsia="en-NZ"/>
              </w:rPr>
              <w:t>Interrelated and complementary combination of activities that, when delivered in a coordinated manner, produce synergies – can span more than one work category and more than one activity class, e.g. a programme could include a road improvement and public transport improvement activities.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(NLTP</w:t>
            </w:r>
            <w:r w:rsidRPr="000F71F5">
              <w:rPr>
                <w:rFonts w:eastAsia="Times New Roman" w:cs="Lucida Sans"/>
                <w:vanish/>
                <w:sz w:val="18"/>
                <w:szCs w:val="18"/>
                <w:bdr w:val="single" w:sz="12" w:space="4" w:color="CCCCCC" w:frame="1"/>
                <w:shd w:val="clear" w:color="auto" w:fill="E7E7E7"/>
                <w:lang w:eastAsia="en-NZ"/>
              </w:rPr>
              <w:t>A National Land Transport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). This allow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ed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maximum notice to be given to territorial authorities before the start of the three-year period over which the new base rates appl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ied. Out of necessity, this meant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that the TA base rate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for the following three years 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s determined by the:</w:t>
            </w:r>
          </w:p>
          <w:p w:rsidR="000F71F5" w:rsidRPr="000F71F5" w:rsidRDefault="000F71F5" w:rsidP="002F68BC">
            <w:pPr>
              <w:numPr>
                <w:ilvl w:val="0"/>
                <w:numId w:val="17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current year’s block road maintenance allocation</w:t>
            </w:r>
          </w:p>
          <w:p w:rsidR="000F71F5" w:rsidRPr="000F71F5" w:rsidRDefault="000F71F5" w:rsidP="002F68BC">
            <w:pPr>
              <w:numPr>
                <w:ilvl w:val="0"/>
                <w:numId w:val="17"/>
              </w:num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latest available net equalised land values.</w:t>
            </w:r>
          </w:p>
          <w:p w:rsidR="000F71F5" w:rsidRPr="000F71F5" w:rsidRDefault="000F71F5" w:rsidP="002F68BC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The approved TA base rate remain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ed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unchanged for the duration of the three year NLTP</w:t>
            </w:r>
            <w:r w:rsidRPr="000F71F5">
              <w:rPr>
                <w:rFonts w:eastAsia="Times New Roman" w:cs="Lucida Sans"/>
                <w:vanish/>
                <w:sz w:val="18"/>
                <w:szCs w:val="18"/>
                <w:bdr w:val="single" w:sz="12" w:space="4" w:color="CCCCCC" w:frame="1"/>
                <w:shd w:val="clear" w:color="auto" w:fill="E7E7E7"/>
                <w:lang w:eastAsia="en-NZ"/>
              </w:rPr>
              <w:t>A National Land Transport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. Only in exceptional circumstances </w:t>
            </w:r>
            <w:r w:rsidR="002F68BC"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w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ould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the 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Transport Agency 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consider a review of TA base rates at other times.</w:t>
            </w:r>
          </w:p>
          <w:p w:rsidR="000F71F5" w:rsidRPr="000F71F5" w:rsidRDefault="000F71F5" w:rsidP="002F68BC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Any additional funds approved at monthly programme reviews 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was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at the funding assistance rate previously set.</w:t>
            </w:r>
          </w:p>
        </w:tc>
      </w:tr>
    </w:tbl>
    <w:p w:rsidR="000F71F5" w:rsidRPr="000F71F5" w:rsidRDefault="000F71F5" w:rsidP="000F71F5">
      <w:pPr>
        <w:spacing w:before="100" w:beforeAutospacing="1" w:after="100" w:afterAutospacing="1" w:line="315" w:lineRule="atLeast"/>
        <w:rPr>
          <w:rFonts w:eastAsia="Times New Roman" w:cs="Lucida Sans"/>
          <w:sz w:val="21"/>
          <w:szCs w:val="21"/>
          <w:lang w:eastAsia="en-NZ"/>
        </w:rPr>
      </w:pPr>
      <w:r w:rsidRPr="000F71F5">
        <w:rPr>
          <w:rFonts w:eastAsia="Times New Roman" w:cs="Lucida Sans"/>
          <w:sz w:val="21"/>
          <w:szCs w:val="21"/>
          <w:lang w:eastAsia="en-N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7685"/>
      </w:tblGrid>
      <w:tr w:rsidR="000F71F5" w:rsidRPr="000F71F5" w:rsidTr="000F71F5">
        <w:trPr>
          <w:tblCellSpacing w:w="0" w:type="dxa"/>
        </w:trPr>
        <w:tc>
          <w:tcPr>
            <w:tcW w:w="2100" w:type="dxa"/>
            <w:hideMark/>
          </w:tcPr>
          <w:p w:rsidR="000F71F5" w:rsidRPr="000F71F5" w:rsidRDefault="000F71F5" w:rsidP="002F68BC">
            <w:pPr>
              <w:spacing w:before="100" w:beforeAutospacing="1" w:after="100" w:afterAutospacing="1" w:line="315" w:lineRule="atLeast"/>
              <w:outlineLvl w:val="4"/>
              <w:rPr>
                <w:rFonts w:eastAsia="Times New Roman" w:cs="Lucida Sans"/>
                <w:b/>
                <w:bCs/>
                <w:szCs w:val="20"/>
                <w:lang w:eastAsia="en-NZ"/>
              </w:rPr>
            </w:pPr>
            <w:r w:rsidRPr="000F71F5">
              <w:rPr>
                <w:rFonts w:eastAsia="Times New Roman" w:cs="Lucida Sans"/>
                <w:b/>
                <w:bCs/>
                <w:szCs w:val="20"/>
                <w:lang w:eastAsia="en-NZ"/>
              </w:rPr>
              <w:t>Determination of TA construction rate</w:t>
            </w:r>
          </w:p>
        </w:tc>
        <w:tc>
          <w:tcPr>
            <w:tcW w:w="7740" w:type="dxa"/>
            <w:hideMark/>
          </w:tcPr>
          <w:p w:rsidR="000F71F5" w:rsidRPr="000F71F5" w:rsidRDefault="000F71F5" w:rsidP="002F68BC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The TA construction rate 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s equal to the TA base rate plus 10 percent, for TA base rates up to and including 80 percent. For TA base rates greater than 80 per 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cent, the TA construction rate 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s half-way between the TA base rate and 100 percent, rounded up to a whole percent up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to a maximum of 94%. This ensure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d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that t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he assistance rate calculation 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s consistent with the principle that those who benefit from transport investment should pay.</w:t>
            </w:r>
          </w:p>
          <w:p w:rsidR="000F71F5" w:rsidRPr="000F71F5" w:rsidRDefault="000F71F5" w:rsidP="002F68BC">
            <w:pPr>
              <w:spacing w:before="100" w:beforeAutospacing="1" w:after="100" w:afterAutospacing="1" w:line="315" w:lineRule="atLeast"/>
              <w:rPr>
                <w:rFonts w:eastAsia="Times New Roman" w:cs="Lucida Sans"/>
                <w:sz w:val="21"/>
                <w:szCs w:val="21"/>
                <w:lang w:eastAsia="en-NZ"/>
              </w:rPr>
            </w:pPr>
            <w:r w:rsidRPr="000F71F5">
              <w:rPr>
                <w:rFonts w:eastAsia="Times New Roman" w:cs="Lucida Sans"/>
                <w:b/>
                <w:bCs/>
                <w:sz w:val="21"/>
                <w:szCs w:val="21"/>
                <w:lang w:eastAsia="en-NZ"/>
              </w:rPr>
              <w:t>Note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: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 Once the TA construction rate 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s set for an individual project, or phase of a project, it 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 xml:space="preserve">remained 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const</w:t>
            </w:r>
            <w:r w:rsidR="002F68BC">
              <w:rPr>
                <w:rFonts w:eastAsia="Times New Roman" w:cs="Lucida Sans"/>
                <w:sz w:val="21"/>
                <w:szCs w:val="21"/>
                <w:lang w:eastAsia="en-NZ"/>
              </w:rPr>
              <w:t>ant until the project or phase wa</w:t>
            </w:r>
            <w:r w:rsidRPr="000F71F5">
              <w:rPr>
                <w:rFonts w:eastAsia="Times New Roman" w:cs="Lucida Sans"/>
                <w:sz w:val="21"/>
                <w:szCs w:val="21"/>
                <w:lang w:eastAsia="en-NZ"/>
              </w:rPr>
              <w:t>s completed.</w:t>
            </w:r>
          </w:p>
        </w:tc>
      </w:tr>
    </w:tbl>
    <w:p w:rsidR="00E554F2" w:rsidRPr="00501D0B" w:rsidRDefault="00E554F2" w:rsidP="00DF7B8B"/>
    <w:sectPr w:rsidR="00E554F2" w:rsidRPr="00501D0B" w:rsidSect="00153973">
      <w:footerReference w:type="first" r:id="rId10"/>
      <w:pgSz w:w="11906" w:h="16838"/>
      <w:pgMar w:top="1276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F5" w:rsidRDefault="000F71F5" w:rsidP="00AB746C">
      <w:r>
        <w:separator/>
      </w:r>
    </w:p>
  </w:endnote>
  <w:endnote w:type="continuationSeparator" w:id="0">
    <w:p w:rsidR="000F71F5" w:rsidRDefault="000F71F5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A" w:rsidRDefault="00EE1164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76160" behindDoc="1" locked="0" layoutInCell="1" allowOverlap="1" wp14:anchorId="06F6A719" wp14:editId="3F751B63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60800" behindDoc="1" locked="0" layoutInCell="1" allowOverlap="1" wp14:anchorId="5BF9A4A9" wp14:editId="132ED6E4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96A" w:rsidRPr="003A296A">
      <w:rPr>
        <w:noProof/>
        <w:lang w:eastAsia="en-NZ"/>
      </w:rPr>
      <w:drawing>
        <wp:anchor distT="0" distB="0" distL="114300" distR="114300" simplePos="0" relativeHeight="251663872" behindDoc="1" locked="0" layoutInCell="1" allowOverlap="1" wp14:anchorId="54182B61" wp14:editId="3E450168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F5" w:rsidRDefault="000F71F5" w:rsidP="00AB746C">
      <w:r>
        <w:separator/>
      </w:r>
    </w:p>
  </w:footnote>
  <w:footnote w:type="continuationSeparator" w:id="0">
    <w:p w:rsidR="000F71F5" w:rsidRDefault="000F71F5" w:rsidP="00AB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F7DC9"/>
    <w:multiLevelType w:val="multilevel"/>
    <w:tmpl w:val="A2A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8">
    <w:nsid w:val="39BD4792"/>
    <w:multiLevelType w:val="multilevel"/>
    <w:tmpl w:val="E99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378E0"/>
    <w:multiLevelType w:val="multilevel"/>
    <w:tmpl w:val="1A3C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A1073"/>
    <w:multiLevelType w:val="multilevel"/>
    <w:tmpl w:val="A36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3E4106"/>
    <w:multiLevelType w:val="multilevel"/>
    <w:tmpl w:val="A37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12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5"/>
    <w:rsid w:val="00063D61"/>
    <w:rsid w:val="000F71F5"/>
    <w:rsid w:val="00130265"/>
    <w:rsid w:val="0013799F"/>
    <w:rsid w:val="00153973"/>
    <w:rsid w:val="00184F01"/>
    <w:rsid w:val="002C33FC"/>
    <w:rsid w:val="002F68BC"/>
    <w:rsid w:val="0039646F"/>
    <w:rsid w:val="003A0C8D"/>
    <w:rsid w:val="003A296A"/>
    <w:rsid w:val="00426B12"/>
    <w:rsid w:val="00447358"/>
    <w:rsid w:val="0047142A"/>
    <w:rsid w:val="004E44E1"/>
    <w:rsid w:val="00501D0B"/>
    <w:rsid w:val="00564645"/>
    <w:rsid w:val="005B351E"/>
    <w:rsid w:val="005D58CE"/>
    <w:rsid w:val="00680396"/>
    <w:rsid w:val="007B1BCC"/>
    <w:rsid w:val="007E4593"/>
    <w:rsid w:val="007E77A4"/>
    <w:rsid w:val="008C3C0F"/>
    <w:rsid w:val="008D46EF"/>
    <w:rsid w:val="008F0B3D"/>
    <w:rsid w:val="008F472E"/>
    <w:rsid w:val="008F50E8"/>
    <w:rsid w:val="00902504"/>
    <w:rsid w:val="00912866"/>
    <w:rsid w:val="00927F09"/>
    <w:rsid w:val="00981599"/>
    <w:rsid w:val="00982204"/>
    <w:rsid w:val="009A7C4C"/>
    <w:rsid w:val="00A1555A"/>
    <w:rsid w:val="00A1705B"/>
    <w:rsid w:val="00A20421"/>
    <w:rsid w:val="00A740D0"/>
    <w:rsid w:val="00AB746C"/>
    <w:rsid w:val="00B225D4"/>
    <w:rsid w:val="00B65200"/>
    <w:rsid w:val="00BA5270"/>
    <w:rsid w:val="00BF2FD3"/>
    <w:rsid w:val="00C61742"/>
    <w:rsid w:val="00D91F26"/>
    <w:rsid w:val="00DC07CD"/>
    <w:rsid w:val="00DF2AAB"/>
    <w:rsid w:val="00DF7B8B"/>
    <w:rsid w:val="00E17094"/>
    <w:rsid w:val="00E554F2"/>
    <w:rsid w:val="00EE1164"/>
    <w:rsid w:val="00F01F87"/>
    <w:rsid w:val="00F527C0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B8BB-F102-4D36-8EFC-92E81B1E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Robertson</dc:creator>
  <cp:keywords/>
  <dc:description/>
  <cp:lastModifiedBy>Douglas Robertson</cp:lastModifiedBy>
  <cp:revision>1</cp:revision>
  <dcterms:created xsi:type="dcterms:W3CDTF">2016-02-02T04:27:00Z</dcterms:created>
  <dcterms:modified xsi:type="dcterms:W3CDTF">2016-02-02T04:44:00Z</dcterms:modified>
</cp:coreProperties>
</file>